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ascii="仿宋" w:hAnsi="仿宋" w:eastAsia="仿宋" w:cs="宋体"/>
          <w:color w:val="000000"/>
          <w:kern w:val="0"/>
          <w:sz w:val="32"/>
          <w:szCs w:val="32"/>
        </w:rPr>
        <w:t>2022</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班戈县藏医院</w:t>
      </w:r>
      <w:r>
        <w:rPr>
          <w:rFonts w:hint="eastAsia" w:ascii="方正小标宋简体" w:hAnsi="仿宋" w:eastAsia="方正小标宋简体"/>
          <w:sz w:val="44"/>
          <w:szCs w:val="44"/>
        </w:rPr>
        <w:t>2022年度部门预算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022年度部门预算明细表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rPr>
        <w:t>2022年度部门预算数据分析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为人民身体健康提供医疗与护理保健服务 ，预防保健科、全科医疗科、内科、外科、妇产科、儿科、眼科、地方病科等民族医学科。</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rPr>
        <w:t>2022年度预算明细表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班戈县藏医院</w:t>
      </w:r>
      <w:r>
        <w:rPr>
          <w:rFonts w:hint="eastAsia" w:ascii="方正小标宋简体" w:hAnsi="仿宋" w:eastAsia="方正小标宋简体"/>
          <w:sz w:val="32"/>
          <w:szCs w:val="32"/>
        </w:rPr>
        <w:t>2022年度部门预算数据分析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一、2022年部门收支总表的说明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2022年收支总预算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二、2022年度部门收入总表的说明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482.54</w:t>
      </w:r>
      <w:r>
        <w:rPr>
          <w:rFonts w:hint="eastAsia" w:ascii="仿宋" w:hAnsi="仿宋" w:eastAsia="仿宋"/>
          <w:sz w:val="32"/>
          <w:szCs w:val="32"/>
          <w:u w:val="single"/>
        </w:rPr>
        <w:t xml:space="preserve">  </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33.21</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三、2022年部门支出总表的说明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2022年支出预算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482.54</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四、2022年财政拨款收支总表的说明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2022年财政拨款收支总预算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482.54</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33.21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53.73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391.53</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37.28</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五、2022年一般公共预算支出表的说明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2022年一般公共预算当年拨款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万元,比2021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82.92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eastAsia="zh-CN"/>
        </w:rPr>
        <w:t>人员新增</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.一般公共服务支出（类）财政事务（款）行政运行（项）2022年预算数为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万元，比2021年执行数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82.92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人员新增</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六、2022年一般公共预算基本支出表的说明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2022年一般公共预算基本支出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449.32</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446.82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七、2022年度一般公共预算“三公”经费预算情况说明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2022年“三公”经费预算数为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万元。2022年“三公”经费预算比2021年减少（增加）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八、2022年度政府性基金预算支出情况说明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2022年政府性基金预算当年拨款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万元,比2021年执行数减少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万元，主要原因：我部门2022年度没有使用政府性基金安排的支出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本单位</w:t>
      </w:r>
      <w:r>
        <w:rPr>
          <w:rFonts w:hint="eastAsia" w:ascii="楷体" w:hAnsi="楷体" w:eastAsia="楷体"/>
          <w:sz w:val="32"/>
          <w:szCs w:val="32"/>
          <w:lang w:val="en-US" w:eastAsia="zh-CN"/>
        </w:rPr>
        <w:t>2022年</w:t>
      </w:r>
      <w:r>
        <w:rPr>
          <w:rFonts w:hint="eastAsia" w:ascii="楷体" w:hAnsi="楷体" w:eastAsia="楷体"/>
          <w:sz w:val="32"/>
          <w:szCs w:val="32"/>
          <w:lang w:eastAsia="zh-CN"/>
        </w:rPr>
        <w:t>无机关运行经费安排</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rPr>
          <w:rFonts w:hint="eastAsia" w:ascii="楷体" w:hAnsi="楷体" w:eastAsia="楷体"/>
          <w:sz w:val="32"/>
          <w:szCs w:val="32"/>
          <w:lang w:val="en-US" w:eastAsia="zh-CN"/>
        </w:rPr>
      </w:pPr>
      <w:r>
        <w:rPr>
          <w:rFonts w:hint="eastAsia" w:ascii="楷体" w:hAnsi="楷体" w:eastAsia="楷体"/>
          <w:sz w:val="32"/>
          <w:szCs w:val="32"/>
          <w:lang w:eastAsia="zh-CN"/>
        </w:rPr>
        <w:t>本单位</w:t>
      </w:r>
      <w:r>
        <w:rPr>
          <w:rFonts w:hint="eastAsia" w:ascii="楷体" w:hAnsi="楷体" w:eastAsia="楷体"/>
          <w:sz w:val="32"/>
          <w:szCs w:val="32"/>
          <w:lang w:val="en-US" w:eastAsia="zh-CN"/>
        </w:rPr>
        <w:t>2022年无政府采购情况</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楷体" w:hAnsi="楷体" w:eastAsia="楷体"/>
          <w:sz w:val="32"/>
          <w:szCs w:val="32"/>
          <w:lang w:val="en-US" w:eastAsia="zh-CN"/>
        </w:rPr>
      </w:pPr>
      <w:r>
        <w:rPr>
          <w:rFonts w:hint="eastAsia" w:ascii="楷体" w:hAnsi="楷体" w:eastAsia="楷体"/>
          <w:sz w:val="32"/>
          <w:szCs w:val="32"/>
          <w:lang w:eastAsia="zh-CN"/>
        </w:rPr>
        <w:t>本单位</w:t>
      </w:r>
      <w:r>
        <w:rPr>
          <w:rFonts w:hint="eastAsia" w:ascii="楷体" w:hAnsi="楷体" w:eastAsia="楷体"/>
          <w:sz w:val="32"/>
          <w:szCs w:val="32"/>
          <w:lang w:val="en-US" w:eastAsia="zh-CN"/>
        </w:rPr>
        <w:t>2022年无国有资产占有使用情况</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（四）2022年预算绩效目标管理情况。</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eastAsia="zh-CN"/>
        </w:rPr>
        <w:t>本单位</w:t>
      </w:r>
      <w:r>
        <w:rPr>
          <w:rFonts w:hint="eastAsia" w:ascii="仿宋" w:hAnsi="仿宋" w:eastAsia="仿宋"/>
          <w:sz w:val="32"/>
          <w:szCs w:val="32"/>
          <w:lang w:val="en-US" w:eastAsia="zh-CN"/>
        </w:rPr>
        <w:t>2022年无预算绩效目标管理情况。</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本单位不涉及</w:t>
      </w:r>
      <w:r>
        <w:rPr>
          <w:rFonts w:hint="eastAsia" w:ascii="楷体" w:hAnsi="楷体" w:eastAsia="楷体"/>
          <w:sz w:val="32"/>
          <w:szCs w:val="32"/>
        </w:rPr>
        <w:t>扶贫资金管理使用情况及绩效目标情况</w:t>
      </w:r>
      <w:r>
        <w:rPr>
          <w:rFonts w:hint="eastAsia" w:ascii="楷体" w:hAnsi="楷体" w:eastAsia="楷体"/>
          <w:sz w:val="32"/>
          <w:szCs w:val="32"/>
          <w:lang w:eastAsia="zh-CN"/>
        </w:rPr>
        <w:t>。</w:t>
      </w:r>
    </w:p>
    <w:p>
      <w:pPr>
        <w:numPr>
          <w:ilvl w:val="0"/>
          <w:numId w:val="1"/>
        </w:numPr>
        <w:ind w:left="0" w:leftChars="0" w:firstLine="0" w:firstLineChars="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leftChars="0"/>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本单位无</w:t>
      </w:r>
      <w:r>
        <w:rPr>
          <w:rFonts w:hint="eastAsia" w:ascii="楷体" w:hAnsi="楷体" w:eastAsia="楷体"/>
          <w:sz w:val="32"/>
          <w:szCs w:val="32"/>
        </w:rPr>
        <w:t>政府债务情况</w:t>
      </w:r>
      <w:r>
        <w:rPr>
          <w:rFonts w:hint="eastAsia" w:ascii="楷体" w:hAnsi="楷体" w:eastAsia="楷体"/>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67BF7"/>
    <w:multiLevelType w:val="singleLevel"/>
    <w:tmpl w:val="E3F67BF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F193F1F"/>
    <w:rsid w:val="24315FE7"/>
    <w:rsid w:val="2FDA66DD"/>
    <w:rsid w:val="3B752C7C"/>
    <w:rsid w:val="77BB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3</TotalTime>
  <ScaleCrop>false</ScaleCrop>
  <LinksUpToDate>false</LinksUpToDate>
  <CharactersWithSpaces>3930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བསོད་索.ཕུན་平</cp:lastModifiedBy>
  <cp:lastPrinted>2021-01-27T11:28:00Z</cp:lastPrinted>
  <dcterms:modified xsi:type="dcterms:W3CDTF">2024-04-26T04:16:22Z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9754F7D3889A416D98EDA69EE4272824_12</vt:lpwstr>
  </property>
</Properties>
</file>