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0" w:hanging="520" w:hangingChars="100"/>
        <w:jc w:val="center"/>
        <w:rPr>
          <w:rFonts w:ascii="方正小标宋简体" w:hAnsi="仿宋" w:eastAsia="方正小标宋简体"/>
          <w:sz w:val="52"/>
          <w:szCs w:val="52"/>
        </w:rPr>
      </w:pPr>
      <w:r>
        <w:rPr>
          <w:rFonts w:hint="eastAsia" w:ascii="方正小标宋简体" w:hAnsi="仿宋" w:eastAsia="方正小标宋简体"/>
          <w:sz w:val="52"/>
          <w:szCs w:val="52"/>
          <w:lang w:eastAsia="zh-CN"/>
        </w:rPr>
        <w:t>班戈县行政审批和便民服务局</w:t>
      </w:r>
      <w:r>
        <w:rPr>
          <w:rFonts w:hint="eastAsia" w:ascii="方正小标宋简体" w:hAnsi="仿宋" w:eastAsia="方正小标宋简体"/>
          <w:sz w:val="52"/>
          <w:szCs w:val="52"/>
          <w:lang w:val="en-US" w:eastAsia="zh-CN"/>
        </w:rPr>
        <w:t xml:space="preserve">  </w:t>
      </w:r>
      <w:r>
        <w:rPr>
          <w:rFonts w:hint="eastAsia" w:ascii="方正小标宋简体" w:hAnsi="仿宋" w:eastAsia="方正小标宋简体"/>
          <w:sz w:val="52"/>
          <w:szCs w:val="52"/>
        </w:rPr>
        <w:t>202</w:t>
      </w:r>
      <w:r>
        <w:rPr>
          <w:rFonts w:hint="eastAsia" w:ascii="方正小标宋简体" w:hAnsi="仿宋" w:eastAsia="方正小标宋简体"/>
          <w:sz w:val="52"/>
          <w:szCs w:val="52"/>
          <w:lang w:val="en-US" w:eastAsia="zh-CN"/>
        </w:rPr>
        <w:t>4</w:t>
      </w:r>
      <w:r>
        <w:rPr>
          <w:rFonts w:hint="eastAsia" w:ascii="方正小标宋简体" w:hAnsi="仿宋" w:eastAsia="方正小标宋简体"/>
          <w:sz w:val="52"/>
          <w:szCs w:val="52"/>
        </w:rPr>
        <w:t>年度部门预算</w:t>
      </w:r>
    </w:p>
    <w:p>
      <w:pPr>
        <w:jc w:val="both"/>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tabs>
          <w:tab w:val="left" w:pos="2811"/>
        </w:tabs>
        <w:rPr>
          <w:rFonts w:hint="eastAsia" w:ascii="仿宋" w:hAnsi="仿宋" w:eastAsia="仿宋"/>
          <w:sz w:val="32"/>
          <w:szCs w:val="32"/>
          <w:lang w:eastAsia="zh-CN"/>
        </w:rPr>
      </w:pPr>
      <w:r>
        <w:rPr>
          <w:rFonts w:hint="eastAsia" w:ascii="仿宋" w:hAnsi="仿宋" w:eastAsia="仿宋"/>
          <w:sz w:val="32"/>
          <w:szCs w:val="32"/>
          <w:lang w:eastAsia="zh-CN"/>
        </w:rPr>
        <w:tab/>
      </w:r>
    </w:p>
    <w:p>
      <w:pPr>
        <w:tabs>
          <w:tab w:val="left" w:pos="2811"/>
        </w:tabs>
        <w:rPr>
          <w:rFonts w:hint="eastAsia" w:ascii="仿宋" w:hAnsi="仿宋" w:eastAsia="仿宋"/>
          <w:sz w:val="32"/>
          <w:szCs w:val="32"/>
          <w:lang w:eastAsia="zh-CN"/>
        </w:rPr>
      </w:pPr>
    </w:p>
    <w:p>
      <w:pPr>
        <w:tabs>
          <w:tab w:val="left" w:pos="2811"/>
        </w:tabs>
        <w:rPr>
          <w:rFonts w:hint="eastAsia" w:ascii="仿宋" w:hAnsi="仿宋" w:eastAsia="仿宋"/>
          <w:sz w:val="32"/>
          <w:szCs w:val="32"/>
          <w:lang w:eastAsia="zh-CN"/>
        </w:rPr>
      </w:pPr>
    </w:p>
    <w:p>
      <w:pPr>
        <w:tabs>
          <w:tab w:val="left" w:pos="2811"/>
        </w:tabs>
        <w:rPr>
          <w:rFonts w:hint="eastAsia" w:ascii="仿宋" w:hAnsi="仿宋" w:eastAsia="仿宋"/>
          <w:sz w:val="32"/>
          <w:szCs w:val="32"/>
          <w:lang w:eastAsia="zh-CN"/>
        </w:rPr>
      </w:pPr>
    </w:p>
    <w:p>
      <w:pPr>
        <w:tabs>
          <w:tab w:val="left" w:pos="2811"/>
        </w:tabs>
        <w:rPr>
          <w:rFonts w:hint="eastAsia" w:ascii="仿宋" w:hAnsi="仿宋" w:eastAsia="仿宋"/>
          <w:sz w:val="32"/>
          <w:szCs w:val="32"/>
          <w:lang w:eastAsia="zh-CN"/>
        </w:rPr>
      </w:pPr>
    </w:p>
    <w:p>
      <w:pPr>
        <w:tabs>
          <w:tab w:val="left" w:pos="2811"/>
        </w:tabs>
        <w:rPr>
          <w:rFonts w:hint="eastAsia" w:ascii="仿宋" w:hAnsi="仿宋" w:eastAsia="仿宋"/>
          <w:sz w:val="32"/>
          <w:szCs w:val="32"/>
          <w:lang w:eastAsia="zh-CN"/>
        </w:rPr>
      </w:pPr>
    </w:p>
    <w:p>
      <w:pPr>
        <w:tabs>
          <w:tab w:val="left" w:pos="2811"/>
        </w:tabs>
        <w:rPr>
          <w:rFonts w:hint="eastAsia" w:ascii="仿宋" w:hAnsi="仿宋" w:eastAsia="仿宋"/>
          <w:sz w:val="32"/>
          <w:szCs w:val="32"/>
          <w:lang w:eastAsia="zh-CN"/>
        </w:rPr>
      </w:pPr>
    </w:p>
    <w:p>
      <w:pPr>
        <w:ind w:firstLine="3520" w:firstLineChars="1100"/>
        <w:jc w:val="both"/>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行政审批和便民服务局</w:t>
      </w:r>
      <w:r>
        <w:rPr>
          <w:rFonts w:hint="eastAsia" w:ascii="方正小标宋简体" w:hAnsi="仿宋" w:eastAsia="方正小标宋简体"/>
          <w:sz w:val="32"/>
          <w:szCs w:val="32"/>
        </w:rPr>
        <w:t>概况</w:t>
      </w:r>
    </w:p>
    <w:p>
      <w:pPr>
        <w:rPr>
          <w:rFonts w:hint="eastAsia" w:ascii="仿宋" w:hAnsi="仿宋" w:eastAsia="仿宋" w:cs="仿宋"/>
          <w:sz w:val="32"/>
          <w:szCs w:val="32"/>
        </w:rPr>
      </w:pPr>
      <w:r>
        <w:rPr>
          <w:rFonts w:hint="eastAsia" w:ascii="仿宋" w:hAnsi="仿宋" w:eastAsia="仿宋" w:cs="仿宋"/>
          <w:sz w:val="32"/>
          <w:szCs w:val="32"/>
        </w:rPr>
        <w:t>一、主要职能</w:t>
      </w:r>
    </w:p>
    <w:p>
      <w:pPr>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行政审批和便民服务局</w:t>
      </w:r>
      <w:r>
        <w:rPr>
          <w:rFonts w:hint="eastAsia" w:ascii="仿宋" w:hAnsi="仿宋" w:eastAsia="仿宋" w:cs="仿宋"/>
          <w:sz w:val="32"/>
          <w:szCs w:val="32"/>
        </w:rPr>
        <w:t>机构设置情况</w:t>
      </w:r>
    </w:p>
    <w:p>
      <w:p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rPr>
        <w:t>第二部分</w:t>
      </w:r>
      <w:r>
        <w:rPr>
          <w:rFonts w:hint="eastAsia" w:ascii="方正小标宋简体" w:hAnsi="仿宋" w:eastAsia="方正小标宋简体"/>
          <w:sz w:val="32"/>
          <w:szCs w:val="32"/>
          <w:lang w:eastAsia="zh-CN"/>
        </w:rPr>
        <w:t xml:space="preserve"> 行政审批和便民服务局预算明细表</w:t>
      </w:r>
    </w:p>
    <w:p>
      <w:pPr>
        <w:rPr>
          <w:rFonts w:hint="eastAsia" w:ascii="方正小标宋简体" w:hAnsi="仿宋" w:eastAsia="方正小标宋简体"/>
          <w:sz w:val="32"/>
          <w:szCs w:val="32"/>
          <w:lang w:eastAsia="zh-CN"/>
        </w:rPr>
      </w:pPr>
      <w:r>
        <w:rPr>
          <w:rFonts w:hint="eastAsia" w:ascii="方正小标宋简体" w:hAnsi="仿宋" w:eastAsia="方正小标宋简体"/>
          <w:sz w:val="32"/>
          <w:szCs w:val="32"/>
          <w:lang w:eastAsia="zh-CN"/>
        </w:rPr>
        <w:t>第三部分  行政审批和便民服务局预算数据分析</w:t>
      </w:r>
    </w:p>
    <w:p>
      <w:pPr>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行政审批和便民服务局收支总体情况</w:t>
      </w:r>
    </w:p>
    <w:p>
      <w:pPr>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行政审批和便民服务局收入总体情况</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三、行政审批和便民服务局支出总体情况</w:t>
      </w:r>
    </w:p>
    <w:p>
      <w:pPr>
        <w:rPr>
          <w:rFonts w:hint="eastAsia" w:ascii="仿宋" w:hAnsi="仿宋" w:eastAsia="仿宋" w:cs="仿宋"/>
          <w:sz w:val="32"/>
          <w:szCs w:val="32"/>
        </w:rPr>
      </w:pPr>
      <w:r>
        <w:rPr>
          <w:rFonts w:hint="eastAsia" w:ascii="仿宋" w:hAnsi="仿宋" w:eastAsia="仿宋" w:cs="仿宋"/>
          <w:sz w:val="32"/>
          <w:szCs w:val="32"/>
        </w:rPr>
        <w:t>四、财政拨款收支总体情况</w:t>
      </w:r>
    </w:p>
    <w:p>
      <w:pPr>
        <w:rPr>
          <w:rFonts w:hint="eastAsia" w:ascii="仿宋" w:hAnsi="仿宋" w:eastAsia="仿宋" w:cs="仿宋"/>
          <w:sz w:val="32"/>
          <w:szCs w:val="32"/>
        </w:rPr>
      </w:pPr>
      <w:r>
        <w:rPr>
          <w:rFonts w:hint="eastAsia" w:ascii="仿宋" w:hAnsi="仿宋" w:eastAsia="仿宋" w:cs="仿宋"/>
          <w:sz w:val="32"/>
          <w:szCs w:val="32"/>
        </w:rPr>
        <w:t>五、一般公共预算支出总体情况（按功能分类科目）</w:t>
      </w:r>
    </w:p>
    <w:p>
      <w:pPr>
        <w:rPr>
          <w:rFonts w:hint="eastAsia" w:ascii="仿宋" w:hAnsi="仿宋" w:eastAsia="仿宋" w:cs="仿宋"/>
          <w:sz w:val="32"/>
          <w:szCs w:val="32"/>
        </w:rPr>
      </w:pPr>
      <w:r>
        <w:rPr>
          <w:rFonts w:hint="eastAsia" w:ascii="仿宋" w:hAnsi="仿宋" w:eastAsia="仿宋" w:cs="仿宋"/>
          <w:sz w:val="32"/>
          <w:szCs w:val="32"/>
        </w:rPr>
        <w:t>六、一般公共预算基本支出总体情况（按经济分类款级科目）</w:t>
      </w:r>
    </w:p>
    <w:p>
      <w:pPr>
        <w:rPr>
          <w:rFonts w:hint="eastAsia" w:ascii="仿宋" w:hAnsi="仿宋" w:eastAsia="仿宋" w:cs="仿宋"/>
          <w:sz w:val="32"/>
          <w:szCs w:val="32"/>
        </w:rPr>
      </w:pPr>
      <w:r>
        <w:rPr>
          <w:rFonts w:hint="eastAsia" w:ascii="仿宋" w:hAnsi="仿宋" w:eastAsia="仿宋" w:cs="仿宋"/>
          <w:sz w:val="32"/>
          <w:szCs w:val="32"/>
        </w:rPr>
        <w:t>七、一般公共预算“三公”经费支出总体情况</w:t>
      </w:r>
    </w:p>
    <w:p>
      <w:pPr>
        <w:rPr>
          <w:rFonts w:hint="eastAsia" w:ascii="仿宋" w:hAnsi="仿宋" w:eastAsia="仿宋" w:cs="仿宋"/>
          <w:sz w:val="32"/>
          <w:szCs w:val="32"/>
        </w:rPr>
      </w:pPr>
      <w:r>
        <w:rPr>
          <w:rFonts w:hint="eastAsia" w:ascii="仿宋" w:hAnsi="仿宋" w:eastAsia="仿宋" w:cs="仿宋"/>
          <w:sz w:val="32"/>
          <w:szCs w:val="32"/>
        </w:rPr>
        <w:t>八、政府性基金预算支出总体情况</w:t>
      </w:r>
    </w:p>
    <w:p>
      <w:pPr>
        <w:rPr>
          <w:rFonts w:hint="eastAsia" w:ascii="仿宋" w:hAnsi="仿宋" w:eastAsia="仿宋" w:cs="仿宋"/>
          <w:sz w:val="32"/>
          <w:szCs w:val="32"/>
        </w:rPr>
      </w:pPr>
      <w:r>
        <w:rPr>
          <w:rFonts w:hint="eastAsia" w:ascii="仿宋" w:hAnsi="仿宋" w:eastAsia="仿宋" w:cs="仿宋"/>
          <w:sz w:val="32"/>
          <w:szCs w:val="32"/>
        </w:rPr>
        <w:t>九、其他重要事项情况说明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行政审批和便民服务局</w:t>
      </w:r>
      <w:r>
        <w:rPr>
          <w:rFonts w:hint="eastAsia" w:ascii="方正小标宋简体" w:hAnsi="仿宋" w:eastAsia="方正小标宋简体"/>
          <w:sz w:val="32"/>
          <w:szCs w:val="32"/>
        </w:rPr>
        <w:t>概况</w:t>
      </w: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（一）部门职责</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1.贯彻落实国务院、自治区政府和市政府有关行政审批制度改革、政务服务、公共资源交易等有关方管服工作及建设服务型政府工作方面的方针政策、法律法规和决策部署。</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2.负责全县政务服务的综合协调工作，探索行政审批制度改革。参与拟订全县行政审批制度改革方面的政策、制度和规划并组织实施。</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3.负责进一步履行划转事项（成熟—批划转—批的原则），大厅进驻（包括行政许可、政务服务等）事项的监督管理。</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负责组织实施全县“互联网+政务服务”运行管理工作，负责全县政务服务体系的信息化建设及信息公开工作。负责网上办事大厅和实体大厅“线上线下、虚实一体”政务服务平台的建设和管理工作。构成“一网一门一次”工作格局。</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5.负责审批服务事项的对外宣传工作。</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负责规范和管理全县行政审批和便民服务行为，创新和完善相关工作体制机制，建立和完善相应工作机制，推进标准化建设，负责行政许可、政务服务事项进行流程再造、环节优化、时限压缩，负责协调督促入驻综合窗口部门审批事项的跟踪督办。</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7.负责对行政审批和便民服务中心窗口工作人员进行综合素质培训和技能培训，牵头制定相关规章制度、办理流程、管理办法。组织协调和督促进驻单实施并进行监督和考核工作。</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8.负责协调和指导乡镇（县、市、区）行政审批和便民服务工作。</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9.负责对进入县政务服务平台的行政审批、公共资源交易及其他政务服务等事项的投诉举报的承办、转办、督办等工作，并按有关规定进行处理。</w:t>
      </w:r>
    </w:p>
    <w:p>
      <w:pPr>
        <w:ind w:firstLine="640" w:firstLineChars="200"/>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lang w:val="en-US" w:eastAsia="zh-CN"/>
        </w:rPr>
        <w:t>（二）</w:t>
      </w:r>
      <w:r>
        <w:rPr>
          <w:rFonts w:hint="eastAsia" w:ascii="方正黑体简体" w:hAnsi="方正黑体简体" w:eastAsia="方正黑体简体" w:cs="方正黑体简体"/>
          <w:b w:val="0"/>
          <w:bCs w:val="0"/>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班戈县行政审批和便民服务局二级预算单位构成。</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纳入本部门2023年行政编制4人 ，局长1名、副局长2名、四级主任科员1名、。</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w:t>
      </w:r>
      <w:r>
        <w:rPr>
          <w:rFonts w:hint="eastAsia" w:ascii="方正仿宋简体" w:hAnsi="方正仿宋简体" w:eastAsia="方正仿宋简体" w:cs="方正仿宋简体"/>
          <w:sz w:val="32"/>
          <w:szCs w:val="32"/>
          <w:lang w:val="en-US" w:eastAsia="zh-CN"/>
        </w:rPr>
        <w:t>行政审批和便民服务局</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班戈县行政审批和便民服务局2024年度部门（单位）预算       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160.18</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160.18</w:t>
      </w:r>
      <w:r>
        <w:rPr>
          <w:rFonts w:hint="eastAsia" w:ascii="仿宋" w:hAnsi="仿宋" w:eastAsia="仿宋"/>
          <w:sz w:val="32"/>
          <w:szCs w:val="32"/>
          <w:lang w:val="en-US" w:eastAsia="zh-CN"/>
        </w:rPr>
        <w:t>万元</w:t>
      </w:r>
      <w:r>
        <w:rPr>
          <w:rFonts w:hint="eastAsia" w:ascii="仿宋" w:hAnsi="仿宋" w:eastAsia="仿宋"/>
          <w:sz w:val="32"/>
          <w:szCs w:val="32"/>
        </w:rPr>
        <w:t>、政府性</w:t>
      </w:r>
      <w:r>
        <w:rPr>
          <w:rFonts w:ascii="仿宋" w:hAnsi="仿宋" w:eastAsia="仿宋"/>
          <w:sz w:val="32"/>
          <w:szCs w:val="32"/>
        </w:rPr>
        <w:t>基金拨款收入</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ascii="仿宋" w:hAnsi="仿宋" w:eastAsia="仿宋"/>
          <w:sz w:val="32"/>
          <w:szCs w:val="32"/>
        </w:rPr>
        <w:t>、国资预算拨款收入</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ascii="仿宋" w:hAnsi="仿宋" w:eastAsia="仿宋"/>
          <w:sz w:val="32"/>
          <w:szCs w:val="32"/>
        </w:rPr>
        <w:t>、专户资金收入</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、事业单位经营收入</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、其他收入</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、使用非财政拨款结余</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120.25</w:t>
      </w:r>
      <w:r>
        <w:rPr>
          <w:rFonts w:hint="eastAsia" w:ascii="仿宋" w:hAnsi="仿宋" w:eastAsia="仿宋"/>
          <w:sz w:val="32"/>
          <w:szCs w:val="32"/>
          <w:lang w:val="en-US" w:eastAsia="zh-CN"/>
        </w:rPr>
        <w:t>万元</w:t>
      </w:r>
      <w:r>
        <w:rPr>
          <w:rFonts w:hint="eastAsia" w:ascii="仿宋" w:hAnsi="仿宋" w:eastAsia="仿宋"/>
          <w:sz w:val="32"/>
          <w:szCs w:val="32"/>
        </w:rPr>
        <w:t>、外交支出</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、教育支出</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、科学技术支出</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0</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17.09</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10.85</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11.99</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二、部门收入总体情况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收入预算总量</w:t>
      </w:r>
      <w:r>
        <w:rPr>
          <w:rFonts w:hint="eastAsia" w:ascii="仿宋" w:hAnsi="仿宋" w:eastAsia="仿宋"/>
          <w:color w:val="auto"/>
          <w:sz w:val="32"/>
          <w:szCs w:val="32"/>
          <w:u w:val="single"/>
          <w:lang w:val="en-US" w:eastAsia="zh-CN"/>
        </w:rPr>
        <w:t>160.18</w:t>
      </w:r>
      <w:r>
        <w:rPr>
          <w:rFonts w:hint="eastAsia" w:ascii="仿宋" w:hAnsi="仿宋" w:eastAsia="仿宋"/>
          <w:color w:val="auto"/>
          <w:sz w:val="32"/>
          <w:szCs w:val="32"/>
        </w:rPr>
        <w:t>万元，同比</w:t>
      </w:r>
      <w:r>
        <w:rPr>
          <w:rFonts w:hint="eastAsia" w:ascii="仿宋" w:hAnsi="仿宋" w:eastAsia="仿宋"/>
          <w:color w:val="auto"/>
          <w:sz w:val="32"/>
          <w:szCs w:val="32"/>
          <w:lang w:val="en-US" w:eastAsia="zh-CN"/>
        </w:rPr>
        <w:t>2023年</w:t>
      </w:r>
      <w:r>
        <w:rPr>
          <w:rFonts w:hint="eastAsia" w:ascii="仿宋" w:hAnsi="仿宋" w:eastAsia="仿宋"/>
          <w:color w:val="auto"/>
          <w:sz w:val="32"/>
          <w:szCs w:val="32"/>
        </w:rPr>
        <w:t>减少</w:t>
      </w:r>
      <w:r>
        <w:rPr>
          <w:rFonts w:hint="eastAsia" w:ascii="仿宋" w:hAnsi="仿宋" w:eastAsia="仿宋"/>
          <w:color w:val="auto"/>
          <w:sz w:val="32"/>
          <w:szCs w:val="32"/>
          <w:u w:val="single"/>
          <w:lang w:val="en-US" w:eastAsia="zh-CN"/>
        </w:rPr>
        <w:t>26.81</w:t>
      </w:r>
      <w:r>
        <w:rPr>
          <w:rFonts w:hint="eastAsia" w:ascii="仿宋" w:hAnsi="仿宋" w:eastAsia="仿宋"/>
          <w:color w:val="auto"/>
          <w:sz w:val="32"/>
          <w:szCs w:val="32"/>
        </w:rPr>
        <w:t>万元，主要</w:t>
      </w:r>
      <w:r>
        <w:rPr>
          <w:rFonts w:ascii="仿宋" w:hAnsi="仿宋" w:eastAsia="仿宋"/>
          <w:color w:val="auto"/>
          <w:sz w:val="32"/>
          <w:szCs w:val="32"/>
        </w:rPr>
        <w:t>原因是：</w:t>
      </w:r>
      <w:r>
        <w:rPr>
          <w:rFonts w:hint="eastAsia" w:ascii="仿宋" w:hAnsi="仿宋" w:eastAsia="仿宋"/>
          <w:color w:val="auto"/>
          <w:sz w:val="32"/>
          <w:szCs w:val="32"/>
          <w:lang w:val="en-US" w:eastAsia="zh-CN"/>
        </w:rPr>
        <w:t>2023年有结转，2024年无结转</w:t>
      </w:r>
      <w:r>
        <w:rPr>
          <w:rFonts w:hint="eastAsia" w:ascii="仿宋" w:hAnsi="仿宋" w:eastAsia="仿宋"/>
          <w:color w:val="auto"/>
          <w:sz w:val="32"/>
          <w:szCs w:val="32"/>
        </w:rPr>
        <w:t>。其中：上年结转</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万元， 占</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none"/>
        </w:rPr>
        <w:t>%；</w:t>
      </w:r>
      <w:r>
        <w:rPr>
          <w:rFonts w:hint="eastAsia" w:ascii="仿宋" w:hAnsi="仿宋" w:eastAsia="仿宋"/>
          <w:color w:val="auto"/>
          <w:sz w:val="32"/>
          <w:szCs w:val="32"/>
        </w:rPr>
        <w:t>2</w:t>
      </w:r>
      <w:r>
        <w:rPr>
          <w:rFonts w:ascii="仿宋" w:hAnsi="仿宋" w:eastAsia="仿宋"/>
          <w:color w:val="auto"/>
          <w:sz w:val="32"/>
          <w:szCs w:val="32"/>
        </w:rPr>
        <w:t>024</w:t>
      </w:r>
      <w:r>
        <w:rPr>
          <w:rFonts w:hint="eastAsia" w:ascii="仿宋" w:hAnsi="仿宋" w:eastAsia="仿宋"/>
          <w:color w:val="auto"/>
          <w:sz w:val="32"/>
          <w:szCs w:val="32"/>
        </w:rPr>
        <w:t>年一般公共预算拨款收入</w:t>
      </w:r>
      <w:r>
        <w:rPr>
          <w:rFonts w:hint="eastAsia" w:ascii="仿宋" w:hAnsi="仿宋" w:eastAsia="仿宋"/>
          <w:color w:val="auto"/>
          <w:sz w:val="32"/>
          <w:szCs w:val="32"/>
          <w:u w:val="single"/>
          <w:lang w:val="en-US" w:eastAsia="zh-CN"/>
        </w:rPr>
        <w:t>160.18</w:t>
      </w:r>
      <w:r>
        <w:rPr>
          <w:rFonts w:hint="eastAsia" w:ascii="仿宋" w:hAnsi="仿宋" w:eastAsia="仿宋"/>
          <w:color w:val="auto"/>
          <w:sz w:val="32"/>
          <w:szCs w:val="32"/>
        </w:rPr>
        <w:t>万元，占</w:t>
      </w:r>
      <w:r>
        <w:rPr>
          <w:rFonts w:hint="eastAsia" w:ascii="仿宋" w:hAnsi="仿宋" w:eastAsia="仿宋"/>
          <w:color w:val="auto"/>
          <w:sz w:val="32"/>
          <w:szCs w:val="32"/>
          <w:u w:val="single"/>
          <w:lang w:val="en-US" w:eastAsia="zh-CN"/>
        </w:rPr>
        <w:t>100</w:t>
      </w:r>
      <w:r>
        <w:rPr>
          <w:rFonts w:hint="eastAsia" w:ascii="仿宋" w:hAnsi="仿宋" w:eastAsia="仿宋"/>
          <w:color w:val="auto"/>
          <w:sz w:val="32"/>
          <w:szCs w:val="32"/>
        </w:rPr>
        <w:t xml:space="preserve"> %；2</w:t>
      </w:r>
      <w:r>
        <w:rPr>
          <w:rFonts w:ascii="仿宋" w:hAnsi="仿宋" w:eastAsia="仿宋"/>
          <w:color w:val="auto"/>
          <w:sz w:val="32"/>
          <w:szCs w:val="32"/>
        </w:rPr>
        <w:t>024</w:t>
      </w:r>
      <w:r>
        <w:rPr>
          <w:rFonts w:hint="eastAsia" w:ascii="仿宋" w:hAnsi="仿宋" w:eastAsia="仿宋"/>
          <w:color w:val="auto"/>
          <w:sz w:val="32"/>
          <w:szCs w:val="32"/>
        </w:rPr>
        <w:t>年政府性基金</w:t>
      </w:r>
      <w:r>
        <w:rPr>
          <w:rFonts w:ascii="仿宋" w:hAnsi="仿宋" w:eastAsia="仿宋"/>
          <w:color w:val="auto"/>
          <w:sz w:val="32"/>
          <w:szCs w:val="32"/>
        </w:rPr>
        <w:t>预算</w:t>
      </w:r>
      <w:r>
        <w:rPr>
          <w:rFonts w:hint="eastAsia" w:ascii="仿宋" w:hAnsi="仿宋" w:eastAsia="仿宋"/>
          <w:color w:val="auto"/>
          <w:sz w:val="32"/>
          <w:szCs w:val="32"/>
        </w:rPr>
        <w:t>拨款收入</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 xml:space="preserve"> %；2</w:t>
      </w:r>
      <w:r>
        <w:rPr>
          <w:rFonts w:ascii="仿宋" w:hAnsi="仿宋" w:eastAsia="仿宋"/>
          <w:color w:val="auto"/>
          <w:sz w:val="32"/>
          <w:szCs w:val="32"/>
        </w:rPr>
        <w:t>024</w:t>
      </w:r>
      <w:r>
        <w:rPr>
          <w:rFonts w:hint="eastAsia" w:ascii="仿宋" w:hAnsi="仿宋" w:eastAsia="仿宋"/>
          <w:color w:val="auto"/>
          <w:sz w:val="32"/>
          <w:szCs w:val="32"/>
        </w:rPr>
        <w:t>年国有资本</w:t>
      </w:r>
      <w:r>
        <w:rPr>
          <w:rFonts w:ascii="仿宋" w:hAnsi="仿宋" w:eastAsia="仿宋"/>
          <w:color w:val="auto"/>
          <w:sz w:val="32"/>
          <w:szCs w:val="32"/>
        </w:rPr>
        <w:t>经营预算</w:t>
      </w:r>
      <w:r>
        <w:rPr>
          <w:rFonts w:hint="eastAsia" w:ascii="仿宋" w:hAnsi="仿宋" w:eastAsia="仿宋"/>
          <w:color w:val="auto"/>
          <w:sz w:val="32"/>
          <w:szCs w:val="32"/>
        </w:rPr>
        <w:t>拨款收入</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160.18</w:t>
      </w:r>
      <w:r>
        <w:rPr>
          <w:rFonts w:hint="eastAsia" w:ascii="仿宋" w:hAnsi="仿宋" w:eastAsia="仿宋"/>
          <w:sz w:val="32"/>
          <w:szCs w:val="32"/>
        </w:rPr>
        <w:t>万元，同比</w:t>
      </w:r>
      <w:r>
        <w:rPr>
          <w:rFonts w:hint="eastAsia" w:ascii="仿宋" w:hAnsi="仿宋" w:eastAsia="仿宋"/>
          <w:sz w:val="32"/>
          <w:szCs w:val="32"/>
          <w:lang w:val="en-US" w:eastAsia="zh-CN"/>
        </w:rPr>
        <w:t>2023年</w:t>
      </w:r>
      <w:r>
        <w:rPr>
          <w:rFonts w:hint="eastAsia" w:ascii="仿宋" w:hAnsi="仿宋" w:eastAsia="仿宋"/>
          <w:sz w:val="32"/>
          <w:szCs w:val="32"/>
        </w:rPr>
        <w:t>减少</w:t>
      </w:r>
      <w:r>
        <w:rPr>
          <w:rFonts w:hint="eastAsia" w:ascii="仿宋" w:hAnsi="仿宋" w:eastAsia="仿宋"/>
          <w:sz w:val="32"/>
          <w:szCs w:val="32"/>
          <w:u w:val="single"/>
          <w:lang w:val="en-US" w:eastAsia="zh-CN"/>
        </w:rPr>
        <w:t>23.82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val="en-US" w:eastAsia="zh-CN"/>
        </w:rPr>
        <w:t>2023年有结转，2024年无结转</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155.18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160.18</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val="en-US" w:eastAsia="zh-CN"/>
        </w:rPr>
        <w:t>2023年</w:t>
      </w:r>
      <w:r>
        <w:rPr>
          <w:rFonts w:hint="eastAsia" w:ascii="仿宋" w:hAnsi="仿宋" w:eastAsia="仿宋"/>
          <w:sz w:val="32"/>
          <w:szCs w:val="32"/>
        </w:rPr>
        <w:t>减少</w:t>
      </w:r>
      <w:r>
        <w:rPr>
          <w:rFonts w:hint="eastAsia" w:ascii="仿宋" w:hAnsi="仿宋" w:eastAsia="仿宋"/>
          <w:color w:val="auto"/>
          <w:sz w:val="32"/>
          <w:szCs w:val="32"/>
          <w:u w:val="single"/>
          <w:lang w:val="en-US" w:eastAsia="zh-CN"/>
        </w:rPr>
        <w:t>26.81</w:t>
      </w:r>
      <w:r>
        <w:rPr>
          <w:rFonts w:hint="eastAsia" w:ascii="仿宋" w:hAnsi="仿宋" w:eastAsia="仿宋"/>
          <w:color w:val="auto"/>
          <w:sz w:val="32"/>
          <w:szCs w:val="32"/>
        </w:rPr>
        <w:t>万元，主要</w:t>
      </w:r>
      <w:r>
        <w:rPr>
          <w:rFonts w:ascii="仿宋" w:hAnsi="仿宋" w:eastAsia="仿宋"/>
          <w:color w:val="auto"/>
          <w:sz w:val="32"/>
          <w:szCs w:val="32"/>
        </w:rPr>
        <w:t>原因是：</w:t>
      </w:r>
      <w:r>
        <w:rPr>
          <w:rFonts w:hint="eastAsia" w:ascii="仿宋" w:hAnsi="仿宋" w:eastAsia="仿宋"/>
          <w:color w:val="auto"/>
          <w:sz w:val="32"/>
          <w:szCs w:val="32"/>
          <w:lang w:val="en-US" w:eastAsia="zh-CN"/>
        </w:rPr>
        <w:t>2023年有结转，2024年无结转</w:t>
      </w:r>
      <w:r>
        <w:rPr>
          <w:rFonts w:hint="eastAsia" w:ascii="仿宋" w:hAnsi="仿宋" w:eastAsia="仿宋"/>
          <w:color w:val="auto"/>
          <w:sz w:val="32"/>
          <w:szCs w:val="32"/>
        </w:rPr>
        <w:t>。</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160.18</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120.25</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17.09</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10.85</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11.99</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u w:val="single"/>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160.18</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color w:val="auto"/>
          <w:sz w:val="32"/>
          <w:szCs w:val="32"/>
          <w:u w:val="single"/>
          <w:lang w:val="en-US" w:eastAsia="zh-CN"/>
        </w:rPr>
        <w:t>26.81</w:t>
      </w:r>
      <w:r>
        <w:rPr>
          <w:rFonts w:hint="eastAsia" w:ascii="仿宋" w:hAnsi="仿宋" w:eastAsia="仿宋"/>
          <w:color w:val="auto"/>
          <w:sz w:val="32"/>
          <w:szCs w:val="32"/>
        </w:rPr>
        <w:t>万元，主要</w:t>
      </w:r>
      <w:r>
        <w:rPr>
          <w:rFonts w:ascii="仿宋" w:hAnsi="仿宋" w:eastAsia="仿宋"/>
          <w:color w:val="auto"/>
          <w:sz w:val="32"/>
          <w:szCs w:val="32"/>
        </w:rPr>
        <w:t>原因是：</w:t>
      </w:r>
      <w:r>
        <w:rPr>
          <w:rFonts w:hint="eastAsia" w:ascii="仿宋" w:hAnsi="仿宋" w:eastAsia="仿宋"/>
          <w:color w:val="auto"/>
          <w:sz w:val="32"/>
          <w:szCs w:val="32"/>
          <w:lang w:val="en-US" w:eastAsia="zh-CN"/>
        </w:rPr>
        <w:t>2023年有结转，2024年无结转</w:t>
      </w:r>
      <w:r>
        <w:rPr>
          <w:rFonts w:hint="eastAsia" w:ascii="仿宋" w:hAnsi="仿宋" w:eastAsia="仿宋"/>
          <w:color w:val="auto"/>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160.18</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w:t>
      </w:r>
      <w:r>
        <w:rPr>
          <w:rFonts w:hint="eastAsia" w:ascii="仿宋" w:hAnsi="仿宋" w:eastAsia="仿宋"/>
          <w:sz w:val="32"/>
          <w:szCs w:val="32"/>
          <w:lang w:eastAsia="zh-CN"/>
        </w:rPr>
        <w:t>单位</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160.18</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26.81</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主要是</w:t>
      </w:r>
      <w:r>
        <w:rPr>
          <w:rFonts w:hint="eastAsia" w:ascii="仿宋" w:hAnsi="仿宋" w:eastAsia="仿宋"/>
          <w:sz w:val="32"/>
          <w:szCs w:val="32"/>
          <w:lang w:eastAsia="zh-CN"/>
        </w:rPr>
        <w:t>因为人员减少和</w:t>
      </w:r>
      <w:r>
        <w:rPr>
          <w:rFonts w:hint="eastAsia" w:ascii="仿宋" w:hAnsi="仿宋" w:eastAsia="仿宋"/>
          <w:sz w:val="32"/>
          <w:szCs w:val="32"/>
          <w:lang w:val="en-US" w:eastAsia="zh-CN"/>
        </w:rPr>
        <w:t>2023年有结转资金</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120.25</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18.76</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rPr>
        <w:t>主要是</w:t>
      </w:r>
      <w:r>
        <w:rPr>
          <w:rFonts w:hint="eastAsia" w:ascii="仿宋" w:hAnsi="仿宋" w:eastAsia="仿宋"/>
          <w:sz w:val="32"/>
          <w:szCs w:val="32"/>
          <w:lang w:eastAsia="zh-CN"/>
        </w:rPr>
        <w:t>因为人员减少和</w:t>
      </w:r>
      <w:r>
        <w:rPr>
          <w:rFonts w:hint="eastAsia" w:ascii="仿宋" w:hAnsi="仿宋" w:eastAsia="仿宋"/>
          <w:sz w:val="32"/>
          <w:szCs w:val="32"/>
          <w:lang w:val="en-US" w:eastAsia="zh-CN"/>
        </w:rPr>
        <w:t>2023年</w:t>
      </w:r>
      <w:r>
        <w:rPr>
          <w:rFonts w:hint="eastAsia" w:ascii="仿宋" w:hAnsi="仿宋" w:eastAsia="仿宋"/>
          <w:sz w:val="32"/>
          <w:szCs w:val="32"/>
          <w:lang w:eastAsia="zh-CN"/>
        </w:rPr>
        <w:t>结转了公用经费。</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160.18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145.26</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lang w:val="en-US" w:eastAsia="zh-CN"/>
        </w:rPr>
        <w:t>99.92万元</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15.99万元</w:t>
      </w:r>
      <w:r>
        <w:rPr>
          <w:rFonts w:hint="eastAsia" w:ascii="仿宋" w:hAnsi="仿宋" w:eastAsia="仿宋"/>
          <w:sz w:val="32"/>
          <w:szCs w:val="32"/>
        </w:rPr>
        <w:t>、</w:t>
      </w:r>
      <w:r>
        <w:rPr>
          <w:rFonts w:ascii="仿宋" w:hAnsi="仿宋" w:eastAsia="仿宋"/>
          <w:sz w:val="32"/>
          <w:szCs w:val="32"/>
        </w:rPr>
        <w:t>城镇职工基本医疗保险</w:t>
      </w:r>
      <w:r>
        <w:rPr>
          <w:rFonts w:hint="eastAsia" w:ascii="仿宋" w:hAnsi="仿宋" w:eastAsia="仿宋"/>
          <w:sz w:val="32"/>
          <w:szCs w:val="32"/>
          <w:lang w:val="en-US" w:eastAsia="zh-CN"/>
        </w:rPr>
        <w:t>7.99万元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2万元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1.10万元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3.96万元</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11.99万元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0.86万元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val="en-US" w:eastAsia="zh-CN"/>
        </w:rPr>
        <w:t>1.44万元</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8.1万元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1.82万元</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w:t>
      </w:r>
      <w:r>
        <w:rPr>
          <w:rFonts w:hint="eastAsia" w:ascii="仿宋" w:hAnsi="仿宋" w:eastAsia="仿宋"/>
          <w:sz w:val="32"/>
          <w:szCs w:val="32"/>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0.16</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2023年我局无三公经费</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spacing w:line="560" w:lineRule="exact"/>
        <w:ind w:firstLine="640" w:firstLineChars="200"/>
        <w:rPr>
          <w:rFonts w:hint="eastAsia" w:ascii="仿宋_GB2312" w:hAnsi="宋体" w:eastAsia="仿宋_GB2312" w:cs="宋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度我局没有</w:t>
      </w:r>
      <w:r>
        <w:rPr>
          <w:rFonts w:hint="eastAsia" w:ascii="仿宋" w:hAnsi="仿宋" w:eastAsia="仿宋"/>
          <w:sz w:val="32"/>
          <w:szCs w:val="32"/>
        </w:rPr>
        <w:t>政府性基金预算</w:t>
      </w:r>
      <w:r>
        <w:rPr>
          <w:rFonts w:ascii="仿宋_GB2312" w:hAnsi="宋体" w:eastAsia="仿宋_GB2312" w:cs="宋体"/>
          <w:sz w:val="32"/>
          <w:szCs w:val="32"/>
        </w:rPr>
        <w:t>安排的支出</w:t>
      </w:r>
      <w:r>
        <w:rPr>
          <w:rFonts w:hint="eastAsia" w:ascii="仿宋_GB2312" w:hAnsi="宋体" w:eastAsia="仿宋_GB2312" w:cs="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楷体" w:hAnsi="楷体" w:eastAsia="楷体"/>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本局</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160.18</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w:t>
      </w:r>
      <w:r>
        <w:rPr>
          <w:rFonts w:hint="eastAsia" w:ascii="仿宋" w:hAnsi="仿宋" w:eastAsia="仿宋"/>
          <w:sz w:val="32"/>
          <w:szCs w:val="32"/>
          <w:lang w:eastAsia="zh-CN"/>
        </w:rPr>
        <w:t>增加</w:t>
      </w:r>
      <w:r>
        <w:rPr>
          <w:rFonts w:hint="eastAsia" w:ascii="仿宋" w:hAnsi="仿宋" w:eastAsia="仿宋"/>
          <w:sz w:val="32"/>
          <w:szCs w:val="32"/>
        </w:rPr>
        <w:t>比2023年执行</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26.81</w:t>
      </w:r>
      <w:r>
        <w:rPr>
          <w:rFonts w:hint="eastAsia" w:ascii="仿宋" w:hAnsi="仿宋" w:eastAsia="仿宋"/>
          <w:sz w:val="32"/>
          <w:szCs w:val="32"/>
        </w:rPr>
        <w:t>万元，</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主要是</w:t>
      </w:r>
      <w:r>
        <w:rPr>
          <w:rFonts w:hint="eastAsia" w:ascii="仿宋" w:hAnsi="仿宋" w:eastAsia="仿宋"/>
          <w:sz w:val="32"/>
          <w:szCs w:val="32"/>
          <w:lang w:eastAsia="zh-CN"/>
        </w:rPr>
        <w:t>因为人员减少和</w:t>
      </w:r>
      <w:r>
        <w:rPr>
          <w:rFonts w:hint="eastAsia" w:ascii="仿宋" w:hAnsi="仿宋" w:eastAsia="仿宋"/>
          <w:sz w:val="32"/>
          <w:szCs w:val="32"/>
          <w:lang w:val="en-US" w:eastAsia="zh-CN"/>
        </w:rPr>
        <w:t>2023年有结转资金</w:t>
      </w:r>
      <w:r>
        <w:rPr>
          <w:rFonts w:hint="eastAsia" w:ascii="仿宋" w:hAnsi="仿宋" w:eastAsia="仿宋"/>
          <w:sz w:val="32"/>
          <w:szCs w:val="32"/>
        </w:rPr>
        <w:t>。</w:t>
      </w: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 xml:space="preserve">2024年实现财政支出绩效目标管理全覆盖，实行绩效目标管理 </w:t>
      </w:r>
      <w:r>
        <w:rPr>
          <w:rFonts w:hint="eastAsia" w:ascii="仿宋" w:hAnsi="仿宋" w:eastAsia="仿宋"/>
          <w:sz w:val="32"/>
          <w:szCs w:val="32"/>
          <w:lang w:val="en-US" w:eastAsia="zh-CN"/>
        </w:rPr>
        <w:t>1</w:t>
      </w:r>
      <w:r>
        <w:rPr>
          <w:rFonts w:hint="eastAsia" w:ascii="仿宋" w:hAnsi="仿宋" w:eastAsia="仿宋"/>
          <w:sz w:val="32"/>
          <w:szCs w:val="32"/>
        </w:rPr>
        <w:t>个，资金</w:t>
      </w:r>
      <w:r>
        <w:rPr>
          <w:rFonts w:hint="eastAsia" w:ascii="仿宋" w:hAnsi="仿宋" w:eastAsia="仿宋"/>
          <w:sz w:val="32"/>
          <w:szCs w:val="32"/>
          <w:lang w:val="en-US" w:eastAsia="zh-CN"/>
        </w:rPr>
        <w:t>5万</w:t>
      </w:r>
      <w:bookmarkStart w:id="0" w:name="_GoBack"/>
      <w:bookmarkEnd w:id="0"/>
      <w:r>
        <w:rPr>
          <w:rFonts w:hint="eastAsia" w:ascii="仿宋" w:hAnsi="仿宋" w:eastAsia="仿宋"/>
          <w:sz w:val="32"/>
          <w:szCs w:val="32"/>
        </w:rPr>
        <w:t>元。</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班戈县行政审批和便民服务局未涉及扶贫资金。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numPr>
          <w:ilvl w:val="0"/>
          <w:numId w:val="0"/>
        </w:numPr>
        <w:spacing w:line="56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截止20</w:t>
      </w:r>
      <w:r>
        <w:rPr>
          <w:rFonts w:hint="eastAsia" w:ascii="仿宋_GB2312" w:hAnsi="宋体" w:eastAsia="仿宋_GB2312" w:cs="宋体"/>
          <w:color w:val="000000"/>
          <w:sz w:val="32"/>
          <w:szCs w:val="32"/>
          <w:lang w:val="en-US" w:eastAsia="zh-CN"/>
        </w:rPr>
        <w:t>24</w:t>
      </w:r>
      <w:r>
        <w:rPr>
          <w:rFonts w:hint="eastAsia" w:ascii="仿宋_GB2312" w:hAnsi="宋体" w:eastAsia="仿宋_GB2312" w:cs="宋体"/>
          <w:color w:val="000000"/>
          <w:sz w:val="32"/>
          <w:szCs w:val="32"/>
        </w:rPr>
        <w:t>年</w:t>
      </w: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月</w:t>
      </w:r>
      <w:r>
        <w:rPr>
          <w:rFonts w:hint="eastAsia" w:ascii="仿宋_GB2312" w:hAnsi="宋体" w:eastAsia="仿宋_GB2312" w:cs="宋体"/>
          <w:color w:val="000000"/>
          <w:sz w:val="32"/>
          <w:szCs w:val="32"/>
          <w:lang w:val="en-US" w:eastAsia="zh-CN"/>
        </w:rPr>
        <w:t>29</w:t>
      </w:r>
      <w:r>
        <w:rPr>
          <w:rFonts w:hint="eastAsia" w:ascii="仿宋_GB2312" w:hAnsi="宋体" w:eastAsia="仿宋_GB2312" w:cs="宋体"/>
          <w:color w:val="000000"/>
          <w:sz w:val="32"/>
          <w:szCs w:val="32"/>
        </w:rPr>
        <w:t>日班戈</w:t>
      </w:r>
      <w:r>
        <w:rPr>
          <w:rFonts w:hint="eastAsia" w:ascii="仿宋_GB2312" w:hAnsi="宋体" w:eastAsia="仿宋_GB2312" w:cs="宋体"/>
          <w:color w:val="000000"/>
          <w:sz w:val="32"/>
          <w:szCs w:val="32"/>
          <w:lang w:eastAsia="zh-CN"/>
        </w:rPr>
        <w:t>县</w:t>
      </w:r>
      <w:r>
        <w:rPr>
          <w:rFonts w:hint="eastAsia" w:ascii="仿宋_GB2312" w:hAnsi="宋体" w:eastAsia="仿宋_GB2312" w:cs="宋体"/>
          <w:sz w:val="32"/>
          <w:szCs w:val="32"/>
          <w:lang w:val="en-US" w:eastAsia="zh-CN"/>
        </w:rPr>
        <w:t>行政审批和便民服务局</w:t>
      </w:r>
      <w:r>
        <w:rPr>
          <w:rFonts w:hint="eastAsia" w:ascii="仿宋_GB2312" w:hAnsi="宋体" w:eastAsia="仿宋_GB2312" w:cs="宋体"/>
          <w:color w:val="000000"/>
          <w:sz w:val="32"/>
          <w:szCs w:val="32"/>
          <w:lang w:eastAsia="zh-CN"/>
        </w:rPr>
        <w:t>未发生任何债权债务</w:t>
      </w:r>
      <w:r>
        <w:rPr>
          <w:rFonts w:ascii="仿宋_GB2312" w:hAnsi="宋体" w:eastAsia="仿宋_GB2312" w:cs="宋体"/>
          <w:color w:val="000000"/>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56CA9"/>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4220"/>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107EFD"/>
    <w:rsid w:val="026110B8"/>
    <w:rsid w:val="04215C51"/>
    <w:rsid w:val="05C026D2"/>
    <w:rsid w:val="06637938"/>
    <w:rsid w:val="06924F37"/>
    <w:rsid w:val="07031ED3"/>
    <w:rsid w:val="07490C8B"/>
    <w:rsid w:val="0763103A"/>
    <w:rsid w:val="08491A75"/>
    <w:rsid w:val="08847A51"/>
    <w:rsid w:val="09025A86"/>
    <w:rsid w:val="0A186253"/>
    <w:rsid w:val="0BCA1CCB"/>
    <w:rsid w:val="0C971886"/>
    <w:rsid w:val="0F5A274D"/>
    <w:rsid w:val="11A47DEC"/>
    <w:rsid w:val="11E05B90"/>
    <w:rsid w:val="13607E0E"/>
    <w:rsid w:val="14147928"/>
    <w:rsid w:val="14345C4D"/>
    <w:rsid w:val="170E2852"/>
    <w:rsid w:val="177E0261"/>
    <w:rsid w:val="185C69A6"/>
    <w:rsid w:val="196F795A"/>
    <w:rsid w:val="1A380EFD"/>
    <w:rsid w:val="1A4A4C0D"/>
    <w:rsid w:val="1A7C38B8"/>
    <w:rsid w:val="1A9E6585"/>
    <w:rsid w:val="1AB97C17"/>
    <w:rsid w:val="1AC528BB"/>
    <w:rsid w:val="1B9471FE"/>
    <w:rsid w:val="1C3E248F"/>
    <w:rsid w:val="1D816CA9"/>
    <w:rsid w:val="1D8D103F"/>
    <w:rsid w:val="1E2F40D4"/>
    <w:rsid w:val="1EF13356"/>
    <w:rsid w:val="1F4C188C"/>
    <w:rsid w:val="205B5019"/>
    <w:rsid w:val="236422BC"/>
    <w:rsid w:val="24AD0229"/>
    <w:rsid w:val="24CF3EB8"/>
    <w:rsid w:val="28633965"/>
    <w:rsid w:val="28D042DD"/>
    <w:rsid w:val="29785ECF"/>
    <w:rsid w:val="2B33616F"/>
    <w:rsid w:val="2CF353FE"/>
    <w:rsid w:val="2D967329"/>
    <w:rsid w:val="2E110851"/>
    <w:rsid w:val="2E1455D4"/>
    <w:rsid w:val="2EA94729"/>
    <w:rsid w:val="2F566534"/>
    <w:rsid w:val="315D0385"/>
    <w:rsid w:val="31B03868"/>
    <w:rsid w:val="31F43493"/>
    <w:rsid w:val="32061515"/>
    <w:rsid w:val="32221604"/>
    <w:rsid w:val="32503889"/>
    <w:rsid w:val="32CB4BDA"/>
    <w:rsid w:val="33384531"/>
    <w:rsid w:val="334C53FC"/>
    <w:rsid w:val="34D608B7"/>
    <w:rsid w:val="35285E49"/>
    <w:rsid w:val="35595E2E"/>
    <w:rsid w:val="35AB4B98"/>
    <w:rsid w:val="35C3210E"/>
    <w:rsid w:val="36EA5F15"/>
    <w:rsid w:val="38AA749D"/>
    <w:rsid w:val="39255AF0"/>
    <w:rsid w:val="39257F02"/>
    <w:rsid w:val="39E1594D"/>
    <w:rsid w:val="3B9E7BD4"/>
    <w:rsid w:val="3BDD4981"/>
    <w:rsid w:val="3CD7095F"/>
    <w:rsid w:val="3DD1607F"/>
    <w:rsid w:val="3E26161A"/>
    <w:rsid w:val="3E2E267C"/>
    <w:rsid w:val="3E3A3681"/>
    <w:rsid w:val="3E901DFB"/>
    <w:rsid w:val="3E9A57EF"/>
    <w:rsid w:val="3EC402B1"/>
    <w:rsid w:val="3FB376BA"/>
    <w:rsid w:val="3FD57050"/>
    <w:rsid w:val="400A2387"/>
    <w:rsid w:val="400E6085"/>
    <w:rsid w:val="41B277B1"/>
    <w:rsid w:val="421A1BD3"/>
    <w:rsid w:val="42B36E6E"/>
    <w:rsid w:val="432C1F8E"/>
    <w:rsid w:val="43901D76"/>
    <w:rsid w:val="46AB4BEA"/>
    <w:rsid w:val="471E185E"/>
    <w:rsid w:val="47F61A82"/>
    <w:rsid w:val="49012B8D"/>
    <w:rsid w:val="490D08F5"/>
    <w:rsid w:val="4A39298C"/>
    <w:rsid w:val="4A6179B4"/>
    <w:rsid w:val="4BC1244F"/>
    <w:rsid w:val="4EBA2A5A"/>
    <w:rsid w:val="4ED01863"/>
    <w:rsid w:val="4F012BC7"/>
    <w:rsid w:val="4F4E44C9"/>
    <w:rsid w:val="500552E8"/>
    <w:rsid w:val="500A41BE"/>
    <w:rsid w:val="52714AD0"/>
    <w:rsid w:val="535E2B57"/>
    <w:rsid w:val="53B5423E"/>
    <w:rsid w:val="53CA6C6D"/>
    <w:rsid w:val="53E33882"/>
    <w:rsid w:val="53F50BC5"/>
    <w:rsid w:val="543E61DB"/>
    <w:rsid w:val="54BC4027"/>
    <w:rsid w:val="54E338DD"/>
    <w:rsid w:val="56404901"/>
    <w:rsid w:val="567D37D2"/>
    <w:rsid w:val="57D17884"/>
    <w:rsid w:val="580B0C31"/>
    <w:rsid w:val="587475CD"/>
    <w:rsid w:val="59967907"/>
    <w:rsid w:val="5E8B58A1"/>
    <w:rsid w:val="5E93586C"/>
    <w:rsid w:val="5E941493"/>
    <w:rsid w:val="60154315"/>
    <w:rsid w:val="609562B3"/>
    <w:rsid w:val="61914799"/>
    <w:rsid w:val="62695B5A"/>
    <w:rsid w:val="65061E03"/>
    <w:rsid w:val="68E96F8D"/>
    <w:rsid w:val="69483E9B"/>
    <w:rsid w:val="6A032EED"/>
    <w:rsid w:val="6A3C0500"/>
    <w:rsid w:val="6B6C7A05"/>
    <w:rsid w:val="6C4B4D90"/>
    <w:rsid w:val="6DE14B1B"/>
    <w:rsid w:val="6E182D13"/>
    <w:rsid w:val="715940EC"/>
    <w:rsid w:val="73F408D2"/>
    <w:rsid w:val="75857785"/>
    <w:rsid w:val="760F10DD"/>
    <w:rsid w:val="76372A1A"/>
    <w:rsid w:val="76640253"/>
    <w:rsid w:val="767C553F"/>
    <w:rsid w:val="781C6200"/>
    <w:rsid w:val="78A650AE"/>
    <w:rsid w:val="79875451"/>
    <w:rsid w:val="79A7163C"/>
    <w:rsid w:val="79CC0F74"/>
    <w:rsid w:val="7A2614F0"/>
    <w:rsid w:val="7BB30D81"/>
    <w:rsid w:val="7D3231E3"/>
    <w:rsid w:val="7D4A5090"/>
    <w:rsid w:val="7DF9657F"/>
    <w:rsid w:val="7E43330E"/>
    <w:rsid w:val="7E721A2A"/>
    <w:rsid w:val="7E95010B"/>
    <w:rsid w:val="7ED51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TotalTime>
  <ScaleCrop>false</ScaleCrop>
  <LinksUpToDate>false</LinksUpToDate>
  <CharactersWithSpaces>4729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2024-01-30T01:58:34Z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