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科学技术局</w:t>
      </w:r>
      <w:r>
        <w:rPr>
          <w:rFonts w:hint="eastAsia" w:ascii="方正小标宋简体" w:hAnsi="仿宋" w:eastAsia="方正小标宋简体"/>
          <w:sz w:val="44"/>
          <w:szCs w:val="44"/>
          <w:lang w:val="en-US" w:eastAsia="zh-CN"/>
        </w:rPr>
        <w:t>(部门）</w:t>
      </w:r>
      <w:r>
        <w:rPr>
          <w:rFonts w:hint="eastAsia" w:ascii="方正小标宋简体" w:hAnsi="仿宋" w:eastAsia="方正小标宋简体"/>
          <w:sz w:val="44"/>
          <w:szCs w:val="44"/>
        </w:rPr>
        <w:t>2024年度部门（单位）预算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u w:val="single"/>
          <w:lang w:val="en-US" w:eastAsia="zh-CN"/>
        </w:rPr>
        <w:t>2024</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rPr>
        <w:t>月</w:t>
      </w:r>
      <w:r>
        <w:rPr>
          <w:rFonts w:hint="eastAsia" w:ascii="仿宋" w:hAnsi="仿宋" w:eastAsia="仿宋"/>
          <w:sz w:val="32"/>
          <w:szCs w:val="32"/>
          <w:u w:val="single"/>
          <w:lang w:val="en-US" w:eastAsia="zh-CN"/>
        </w:rPr>
        <w:t>1</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eastAsia="zh-CN"/>
        </w:rPr>
        <w:t>科学技术局</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科学技术局</w:t>
      </w:r>
      <w:r>
        <w:rPr>
          <w:rFonts w:hint="eastAsia" w:ascii="方正小标宋简体" w:hAnsi="仿宋" w:eastAsia="方正小标宋简体"/>
          <w:sz w:val="32"/>
          <w:szCs w:val="32"/>
        </w:rPr>
        <w:t>（部门）预算明细表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科学技术局</w:t>
      </w:r>
      <w:r>
        <w:rPr>
          <w:rFonts w:hint="eastAsia" w:ascii="方正小标宋简体" w:hAnsi="仿宋" w:eastAsia="方正小标宋简体"/>
          <w:sz w:val="32"/>
          <w:szCs w:val="32"/>
        </w:rPr>
        <w:t>（部门）预算数据分析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w:t>
      </w:r>
      <w:bookmarkStart w:id="0" w:name="_GoBack"/>
      <w:bookmarkEnd w:id="0"/>
      <w:r>
        <w:rPr>
          <w:rFonts w:hint="eastAsia" w:ascii="黑体" w:hAnsi="黑体" w:eastAsia="黑体"/>
          <w:sz w:val="32"/>
          <w:szCs w:val="32"/>
        </w:rPr>
        <w:t>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科学技术局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一是推进“大众创业，万众创新”工作情况；二是不断强化科技项目支撑与科技交流积极开展项目申报工作，强化科技交流与科考服务；三是“三支队伍”管理建设工作。</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班戈县科学技术局现有编制人数</w:t>
      </w:r>
      <w:r>
        <w:rPr>
          <w:rFonts w:hint="eastAsia" w:ascii="仿宋" w:hAnsi="仿宋" w:eastAsia="仿宋"/>
          <w:sz w:val="32"/>
          <w:szCs w:val="32"/>
          <w:lang w:val="en-US" w:eastAsia="zh-CN"/>
        </w:rPr>
        <w:t>5人，实有人数5人,。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XXX（部门/单位）2024年度预算明细表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jc w:val="center"/>
        <w:rPr>
          <w:rFonts w:hint="eastAsia" w:ascii="仿宋" w:hAnsi="仿宋" w:eastAsia="仿宋"/>
          <w:sz w:val="32"/>
          <w:szCs w:val="32"/>
          <w:lang w:val="en-US" w:eastAsia="zh-CN"/>
        </w:rPr>
      </w:pPr>
      <w:r>
        <w:rPr>
          <w:rFonts w:hint="eastAsia" w:ascii="仿宋" w:hAnsi="仿宋" w:eastAsia="仿宋"/>
          <w:sz w:val="32"/>
          <w:szCs w:val="32"/>
          <w:lang w:eastAsia="zh-CN"/>
        </w:rPr>
        <w:t>科学技术局（部门）</w:t>
      </w:r>
      <w:r>
        <w:rPr>
          <w:rFonts w:hint="eastAsia" w:ascii="仿宋" w:hAnsi="仿宋" w:eastAsia="仿宋"/>
          <w:sz w:val="32"/>
          <w:szCs w:val="32"/>
          <w:lang w:val="en-US" w:eastAsia="zh-CN"/>
        </w:rPr>
        <w:t>2024年度预算明细表</w:t>
      </w:r>
    </w:p>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科学技术局</w:t>
      </w:r>
      <w:r>
        <w:rPr>
          <w:rFonts w:hint="eastAsia" w:ascii="方正小标宋简体" w:hAnsi="仿宋" w:eastAsia="方正小标宋简体"/>
          <w:sz w:val="32"/>
          <w:szCs w:val="32"/>
        </w:rPr>
        <w:t>（部门）2024年度部门预算数据分析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281.86</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281.86万元。</w:t>
      </w:r>
      <w:r>
        <w:rPr>
          <w:rFonts w:hint="eastAsia" w:ascii="仿宋" w:hAnsi="仿宋" w:eastAsia="仿宋"/>
          <w:sz w:val="32"/>
          <w:szCs w:val="32"/>
        </w:rPr>
        <w:t>支出包括：科学技术支出、社会保障和就业支出、卫生健康支出、住房保障支出。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281.86</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lang w:val="en-US" w:eastAsia="zh-CN"/>
        </w:rPr>
        <w:t>39.38</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预算人数减少</w:t>
      </w:r>
      <w:r>
        <w:rPr>
          <w:rFonts w:ascii="仿宋" w:hAnsi="仿宋" w:eastAsia="仿宋"/>
          <w:sz w:val="32"/>
          <w:szCs w:val="32"/>
          <w:u w:val="single"/>
        </w:rPr>
        <w:t xml:space="preserve"> </w:t>
      </w:r>
      <w:r>
        <w:rPr>
          <w:rFonts w:hint="eastAsia" w:ascii="仿宋" w:hAnsi="仿宋" w:eastAsia="仿宋"/>
          <w:sz w:val="32"/>
          <w:szCs w:val="32"/>
        </w:rPr>
        <w:t>。其中：2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281.86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281.86</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39.38</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预算人数减少</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106.66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175.20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281.86</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lang w:val="en-US" w:eastAsia="zh-CN"/>
        </w:rPr>
        <w:t>39.38</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人员减少</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281.86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支出包括：科学技术支出</w:t>
      </w:r>
      <w:r>
        <w:rPr>
          <w:rFonts w:hint="eastAsia" w:ascii="仿宋" w:hAnsi="仿宋" w:eastAsia="仿宋"/>
          <w:sz w:val="32"/>
          <w:szCs w:val="32"/>
          <w:u w:val="single"/>
          <w:lang w:val="en-US" w:eastAsia="zh-CN"/>
        </w:rPr>
        <w:t>254.52</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11.67</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7.48</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281.86</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39.38</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预算人数减少，无上年结转</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281.86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254.52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11.67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960" w:firstLineChars="300"/>
        <w:rPr>
          <w:rFonts w:hint="eastAsia" w:ascii="仿宋" w:hAnsi="仿宋" w:eastAsia="仿宋"/>
          <w:sz w:val="32"/>
          <w:szCs w:val="32"/>
          <w:lang w:eastAsia="zh-CN"/>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281.86</w:t>
      </w:r>
      <w:r>
        <w:rPr>
          <w:rFonts w:hint="eastAsia" w:ascii="仿宋" w:hAnsi="仿宋" w:eastAsia="仿宋"/>
          <w:sz w:val="32"/>
          <w:szCs w:val="32"/>
          <w:u w:val="single"/>
        </w:rPr>
        <w:t xml:space="preserve"> </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1.28</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项目增加。</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106.66</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99.34</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7.32</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2.07</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0.12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2.07</w:t>
      </w:r>
      <w:r>
        <w:rPr>
          <w:rFonts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2024年公务用车经费统一下拨至各单位</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960" w:firstLineChars="300"/>
        <w:rPr>
          <w:rFonts w:ascii="仿宋" w:hAnsi="仿宋" w:eastAsia="仿宋"/>
          <w:sz w:val="32"/>
          <w:szCs w:val="32"/>
        </w:rPr>
      </w:pPr>
      <w:r>
        <w:rPr>
          <w:rFonts w:hint="eastAsia" w:ascii="仿宋" w:hAnsi="仿宋" w:eastAsia="仿宋"/>
          <w:sz w:val="32"/>
          <w:szCs w:val="32"/>
        </w:rPr>
        <w:t>我部门（单位）2024年度没有政府性基金安排的支出。</w:t>
      </w:r>
    </w:p>
    <w:p>
      <w:pPr>
        <w:numPr>
          <w:ilvl w:val="0"/>
          <w:numId w:val="1"/>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仿宋" w:hAnsi="仿宋" w:eastAsia="仿宋"/>
          <w:sz w:val="32"/>
          <w:szCs w:val="32"/>
        </w:rPr>
        <w:t>我部门2024年度没有政府性基金安排的支出。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w:t>
      </w:r>
      <w:r>
        <w:rPr>
          <w:rFonts w:hint="eastAsia" w:ascii="仿宋" w:hAnsi="仿宋" w:eastAsia="仿宋"/>
          <w:sz w:val="32"/>
          <w:szCs w:val="32"/>
          <w:lang w:eastAsia="zh-CN"/>
        </w:rPr>
        <w:t>西藏那曲班戈县科学技术局</w:t>
      </w:r>
      <w:r>
        <w:rPr>
          <w:rFonts w:hint="eastAsia" w:ascii="仿宋" w:hAnsi="仿宋" w:eastAsia="仿宋"/>
          <w:sz w:val="32"/>
          <w:szCs w:val="32"/>
        </w:rPr>
        <w:t>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7.32</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4.81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39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人员减少以及按照资金使用情况财政预算拨款</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960" w:firstLineChars="300"/>
        <w:rPr>
          <w:rFonts w:hint="eastAsia" w:ascii="仿宋" w:hAnsi="仿宋" w:eastAsia="仿宋"/>
          <w:sz w:val="32"/>
          <w:szCs w:val="32"/>
          <w:lang w:eastAsia="zh-CN"/>
        </w:rPr>
      </w:pPr>
      <w:r>
        <w:rPr>
          <w:rFonts w:hint="eastAsia" w:ascii="仿宋" w:hAnsi="仿宋" w:eastAsia="仿宋"/>
          <w:sz w:val="32"/>
          <w:szCs w:val="32"/>
          <w:lang w:eastAsia="zh-CN"/>
        </w:rPr>
        <w:t>我部门无政府采购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960" w:firstLineChars="300"/>
        <w:rPr>
          <w:rFonts w:hint="eastAsia" w:ascii="仿宋" w:hAnsi="仿宋" w:eastAsia="仿宋"/>
          <w:sz w:val="32"/>
          <w:szCs w:val="32"/>
          <w:lang w:eastAsia="zh-CN"/>
        </w:rPr>
      </w:pPr>
      <w:r>
        <w:rPr>
          <w:rFonts w:hint="eastAsia" w:ascii="仿宋" w:hAnsi="仿宋" w:eastAsia="仿宋"/>
          <w:sz w:val="32"/>
          <w:szCs w:val="32"/>
          <w:lang w:eastAsia="zh-CN"/>
        </w:rPr>
        <w:t>我部门无车辆及其他资产。</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例如：2024年实现财政支出绩效目标管理全覆盖，实行绩效目标管理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281.86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281.86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960" w:firstLineChars="300"/>
        <w:rPr>
          <w:rFonts w:hint="eastAsia" w:ascii="楷体" w:hAnsi="楷体" w:eastAsia="楷体"/>
          <w:sz w:val="32"/>
          <w:szCs w:val="32"/>
          <w:lang w:eastAsia="zh-CN"/>
        </w:rPr>
      </w:pPr>
      <w:r>
        <w:rPr>
          <w:rFonts w:hint="eastAsia" w:ascii="楷体" w:hAnsi="楷体" w:eastAsia="楷体"/>
          <w:sz w:val="32"/>
          <w:szCs w:val="32"/>
          <w:lang w:eastAsia="zh-CN"/>
        </w:rPr>
        <w:t>我部门无扶贫资金预算。</w:t>
      </w:r>
    </w:p>
    <w:p>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numId w:val="0"/>
        </w:num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我部门无政府债务。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E35D9"/>
    <w:multiLevelType w:val="singleLevel"/>
    <w:tmpl w:val="D85E35D9"/>
    <w:lvl w:ilvl="0" w:tentative="0">
      <w:start w:val="9"/>
      <w:numFmt w:val="chineseCounting"/>
      <w:suff w:val="nothing"/>
      <w:lvlText w:val="%1、"/>
      <w:lvlJc w:val="left"/>
      <w:rPr>
        <w:rFonts w:hint="eastAsia"/>
      </w:rPr>
    </w:lvl>
  </w:abstractNum>
  <w:abstractNum w:abstractNumId="1">
    <w:nsid w:val="72166E99"/>
    <w:multiLevelType w:val="singleLevel"/>
    <w:tmpl w:val="72166E9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E56490"/>
    <w:rsid w:val="062E3F03"/>
    <w:rsid w:val="0A00623E"/>
    <w:rsid w:val="0C8A3633"/>
    <w:rsid w:val="23716E63"/>
    <w:rsid w:val="238368A4"/>
    <w:rsid w:val="265E5B77"/>
    <w:rsid w:val="2C15192D"/>
    <w:rsid w:val="31BA5AE4"/>
    <w:rsid w:val="3B4D293E"/>
    <w:rsid w:val="3CAB28D3"/>
    <w:rsid w:val="42962F2E"/>
    <w:rsid w:val="4472295B"/>
    <w:rsid w:val="484D7842"/>
    <w:rsid w:val="4CD05963"/>
    <w:rsid w:val="4DF635D1"/>
    <w:rsid w:val="5CE17E86"/>
    <w:rsid w:val="62885AAC"/>
    <w:rsid w:val="62D900A7"/>
    <w:rsid w:val="643926CD"/>
    <w:rsid w:val="69AE1F2D"/>
    <w:rsid w:val="6B3B1499"/>
    <w:rsid w:val="70470087"/>
    <w:rsid w:val="7925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46</TotalTime>
  <ScaleCrop>false</ScaleCrop>
  <LinksUpToDate>false</LinksUpToDate>
  <CharactersWithSpaces>4729</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2024-02-01T04:39:03Z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