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中共西藏那曲班戈县委机关工作委员会</w:t>
      </w:r>
      <w:r>
        <w:rPr>
          <w:rFonts w:hint="eastAsia" w:ascii="方正小标宋简体" w:hAnsi="仿宋" w:eastAsia="方正小标宋简体"/>
          <w:sz w:val="44"/>
          <w:szCs w:val="44"/>
        </w:rPr>
        <w:t>2024年度部门（单位）预算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31</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中共西藏那曲班戈县委机关工作委员会</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中共西藏那曲班戈县委机关工作委员会</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中共西藏那曲班戈县委机关工作委员会预算数据</w:t>
      </w:r>
      <w:r>
        <w:rPr>
          <w:rFonts w:hint="eastAsia" w:ascii="方正小标宋简体" w:hAnsi="仿宋" w:eastAsia="方正小标宋简体"/>
          <w:sz w:val="32"/>
          <w:szCs w:val="32"/>
        </w:rPr>
        <w:t>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中共西藏那曲班戈县委机关工作委员会</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组织部门印发的“三定”方案文件，规定的部门（单位）主要职责。</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1</w:t>
      </w:r>
      <w:r>
        <w:rPr>
          <w:rFonts w:hint="eastAsia" w:ascii="方正仿宋简体" w:eastAsia="方正仿宋简体"/>
          <w:sz w:val="32"/>
          <w:szCs w:val="32"/>
          <w:lang w:val="en-US" w:eastAsia="zh-CN"/>
        </w:rPr>
        <w:t>.</w:t>
      </w:r>
      <w:r>
        <w:rPr>
          <w:rFonts w:hint="eastAsia" w:ascii="方正仿宋简体" w:eastAsia="方正仿宋简体"/>
          <w:sz w:val="32"/>
          <w:szCs w:val="32"/>
        </w:rPr>
        <w:t>统一组织、规划、部署县直机关党的工作，提出加强和改进县直机关党的建设的意见和建议，研究制定工作规划，并抓好组织实施。</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2</w:t>
      </w:r>
      <w:r>
        <w:rPr>
          <w:rFonts w:hint="eastAsia" w:ascii="方正仿宋简体" w:eastAsia="方正仿宋简体"/>
          <w:sz w:val="32"/>
          <w:szCs w:val="32"/>
          <w:lang w:val="en-US" w:eastAsia="zh-CN"/>
        </w:rPr>
        <w:t>.</w:t>
      </w:r>
      <w:r>
        <w:rPr>
          <w:rFonts w:hint="eastAsia" w:ascii="方正仿宋简体" w:eastAsia="方正仿宋简体"/>
          <w:sz w:val="32"/>
          <w:szCs w:val="32"/>
        </w:rPr>
        <w:t>指导县直机关党的政治建设、思想建设、组织建设、作风建设、纪律建设，把制度建设贯穿其中，深入推进反腐败斗争。</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3</w:t>
      </w:r>
      <w:r>
        <w:rPr>
          <w:rFonts w:hint="eastAsia" w:ascii="方正仿宋简体" w:eastAsia="方正仿宋简体"/>
          <w:sz w:val="32"/>
          <w:szCs w:val="32"/>
          <w:lang w:val="en-US" w:eastAsia="zh-CN"/>
        </w:rPr>
        <w:t>.</w:t>
      </w:r>
      <w:r>
        <w:rPr>
          <w:rFonts w:hint="eastAsia" w:ascii="方正仿宋简体" w:eastAsia="方正仿宋简体"/>
          <w:sz w:val="32"/>
          <w:szCs w:val="32"/>
        </w:rPr>
        <w:t>指导县直机关各级党组织和广大党员学习马克思列宁主义、毛泽东思想、邓小平理论、“三个代表”重要思想、科学发展观、习近平新时代中国特色社会主义思想。</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4</w:t>
      </w:r>
      <w:r>
        <w:rPr>
          <w:rFonts w:hint="eastAsia" w:ascii="方正仿宋简体" w:eastAsia="方正仿宋简体"/>
          <w:sz w:val="32"/>
          <w:szCs w:val="32"/>
          <w:lang w:val="en-US" w:eastAsia="zh-CN"/>
        </w:rPr>
        <w:t>.</w:t>
      </w:r>
      <w:r>
        <w:rPr>
          <w:rFonts w:hint="eastAsia" w:ascii="方正仿宋简体" w:eastAsia="方正仿宋简体"/>
          <w:sz w:val="32"/>
          <w:szCs w:val="32"/>
        </w:rPr>
        <w:t>对县直机关各级党组织、党员领导干部落实党建责任制、遵守政治纪律和政治规矩情况进行监督检查，并向县委报告。</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5</w:t>
      </w:r>
      <w:r>
        <w:rPr>
          <w:rFonts w:hint="eastAsia" w:ascii="方正仿宋简体" w:eastAsia="方正仿宋简体"/>
          <w:sz w:val="32"/>
          <w:szCs w:val="32"/>
          <w:lang w:val="en-US" w:eastAsia="zh-CN"/>
        </w:rPr>
        <w:t>.</w:t>
      </w:r>
      <w:r>
        <w:rPr>
          <w:rFonts w:hint="eastAsia" w:ascii="方正仿宋简体" w:eastAsia="方正仿宋简体"/>
          <w:sz w:val="32"/>
          <w:szCs w:val="32"/>
        </w:rPr>
        <w:t>指导县直机关各级党组织实施对党员特别是党员领导干部的监督和管理，及时向县委反映各部门领导班子、领导干部的情况。</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6</w:t>
      </w:r>
      <w:r>
        <w:rPr>
          <w:rFonts w:hint="eastAsia" w:ascii="方正仿宋简体" w:eastAsia="方正仿宋简体"/>
          <w:sz w:val="32"/>
          <w:szCs w:val="32"/>
          <w:lang w:val="en-US" w:eastAsia="zh-CN"/>
        </w:rPr>
        <w:t>.</w:t>
      </w:r>
      <w:r>
        <w:rPr>
          <w:rFonts w:hint="eastAsia" w:ascii="方正仿宋简体" w:eastAsia="方正仿宋简体"/>
          <w:sz w:val="32"/>
          <w:szCs w:val="32"/>
        </w:rPr>
        <w:t>配合县委有关部门抓好县直机关各部门领导班子思想政治建设，参与对党员领导干部民主生活会和县直机关各部门党组（党委）理论学习中心组学习的督促检查和指导，了解掌握情况，按规定报送情况报告。</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7</w:t>
      </w:r>
      <w:r>
        <w:rPr>
          <w:rFonts w:hint="eastAsia" w:ascii="方正仿宋简体" w:eastAsia="方正仿宋简体"/>
          <w:sz w:val="32"/>
          <w:szCs w:val="32"/>
          <w:lang w:val="en-US" w:eastAsia="zh-CN"/>
        </w:rPr>
        <w:t>.</w:t>
      </w:r>
      <w:r>
        <w:rPr>
          <w:rFonts w:hint="eastAsia" w:ascii="方正仿宋简体" w:eastAsia="方正仿宋简体"/>
          <w:sz w:val="32"/>
          <w:szCs w:val="32"/>
        </w:rPr>
        <w:t>督促指导县直各部门机关党组织按期换届，审批关于召开党员大会或党员代表大会的请示，审批县直各部门机关党组织和机关纪检组织领导班子的组成及书记、副书记的任免。</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8</w:t>
      </w:r>
      <w:r>
        <w:rPr>
          <w:rFonts w:hint="eastAsia" w:ascii="方正仿宋简体" w:eastAsia="方正仿宋简体"/>
          <w:sz w:val="32"/>
          <w:szCs w:val="32"/>
          <w:lang w:val="en-US" w:eastAsia="zh-CN"/>
        </w:rPr>
        <w:t>.</w:t>
      </w:r>
      <w:r>
        <w:rPr>
          <w:rFonts w:hint="eastAsia" w:ascii="方正仿宋简体" w:eastAsia="方正仿宋简体"/>
          <w:sz w:val="32"/>
          <w:szCs w:val="32"/>
        </w:rPr>
        <w:t>指导县直机关各级党组织加强基层组织建设，做好党员发展、教育、管理和服务等工作。</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9</w:t>
      </w:r>
      <w:r>
        <w:rPr>
          <w:rFonts w:hint="eastAsia" w:ascii="方正仿宋简体" w:eastAsia="方正仿宋简体"/>
          <w:sz w:val="32"/>
          <w:szCs w:val="32"/>
          <w:lang w:val="en-US" w:eastAsia="zh-CN"/>
        </w:rPr>
        <w:t>.</w:t>
      </w:r>
      <w:r>
        <w:rPr>
          <w:rFonts w:hint="eastAsia" w:ascii="方正仿宋简体" w:eastAsia="方正仿宋简体"/>
          <w:sz w:val="32"/>
          <w:szCs w:val="32"/>
        </w:rPr>
        <w:t>负责县直机关党建工作和先进基层党组织、优秀共产党员和党务工作者评比表彰。</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10</w:t>
      </w:r>
      <w:r>
        <w:rPr>
          <w:rFonts w:hint="eastAsia" w:ascii="方正仿宋简体" w:eastAsia="方正仿宋简体"/>
          <w:sz w:val="32"/>
          <w:szCs w:val="32"/>
          <w:lang w:val="en-US" w:eastAsia="zh-CN"/>
        </w:rPr>
        <w:t>.</w:t>
      </w:r>
      <w:r>
        <w:rPr>
          <w:rFonts w:hint="eastAsia" w:ascii="方正仿宋简体" w:eastAsia="方正仿宋简体"/>
          <w:sz w:val="32"/>
          <w:szCs w:val="32"/>
        </w:rPr>
        <w:t>领导县直机关各部门机关党的纪律检查工作。</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11</w:t>
      </w:r>
      <w:r>
        <w:rPr>
          <w:rFonts w:hint="eastAsia" w:ascii="方正仿宋简体" w:eastAsia="方正仿宋简体"/>
          <w:sz w:val="32"/>
          <w:szCs w:val="32"/>
          <w:lang w:val="en-US" w:eastAsia="zh-CN"/>
        </w:rPr>
        <w:t>.</w:t>
      </w:r>
      <w:r>
        <w:rPr>
          <w:rFonts w:hint="eastAsia" w:ascii="方正仿宋简体" w:eastAsia="方正仿宋简体"/>
          <w:sz w:val="32"/>
          <w:szCs w:val="32"/>
        </w:rPr>
        <w:t>了解掌握县直机关工作人员的思想状况，指导县直机关各级党组织加强思想政治工作和精神文明建设。</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12</w:t>
      </w:r>
      <w:r>
        <w:rPr>
          <w:rFonts w:hint="eastAsia" w:ascii="方正仿宋简体" w:eastAsia="方正仿宋简体"/>
          <w:sz w:val="32"/>
          <w:szCs w:val="32"/>
          <w:lang w:val="en-US" w:eastAsia="zh-CN"/>
        </w:rPr>
        <w:t>.</w:t>
      </w:r>
      <w:r>
        <w:rPr>
          <w:rFonts w:hint="eastAsia" w:ascii="方正仿宋简体" w:eastAsia="方正仿宋简体"/>
          <w:sz w:val="32"/>
          <w:szCs w:val="32"/>
        </w:rPr>
        <w:t>领导县直机关工会、共青团、妇联等群团组织的工作，指导县直机关各级党组织做好党的群众工作。</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hint="eastAsia" w:ascii="方正仿宋简体" w:eastAsia="方正仿宋简体"/>
          <w:sz w:val="32"/>
          <w:szCs w:val="32"/>
        </w:rPr>
      </w:pPr>
      <w:r>
        <w:rPr>
          <w:rFonts w:hint="default" w:ascii="Times New Roman" w:hAnsi="Times New Roman" w:eastAsia="方正仿宋简体" w:cs="Times New Roman"/>
          <w:sz w:val="32"/>
          <w:szCs w:val="32"/>
          <w:lang w:val="en-US" w:eastAsia="zh-CN"/>
        </w:rPr>
        <w:t>13</w:t>
      </w:r>
      <w:r>
        <w:rPr>
          <w:rFonts w:hint="eastAsia" w:ascii="方正仿宋简体" w:eastAsia="方正仿宋简体"/>
          <w:sz w:val="32"/>
          <w:szCs w:val="32"/>
          <w:lang w:val="en-US" w:eastAsia="zh-CN"/>
        </w:rPr>
        <w:t>.</w:t>
      </w:r>
      <w:r>
        <w:rPr>
          <w:rFonts w:hint="eastAsia" w:ascii="方正仿宋简体" w:eastAsia="方正仿宋简体"/>
          <w:sz w:val="32"/>
          <w:szCs w:val="32"/>
        </w:rPr>
        <w:t>受县委委托，协助县委组织部管理县直机关党员和开展党务干部教育培训工作。</w:t>
      </w:r>
    </w:p>
    <w:p>
      <w:pPr>
        <w:keepNext w:val="0"/>
        <w:keepLines w:val="0"/>
        <w:pageBreakBefore w:val="0"/>
        <w:widowControl w:val="0"/>
        <w:kinsoku/>
        <w:wordWrap/>
        <w:overflowPunct/>
        <w:topLinePunct w:val="0"/>
        <w:bidi w:val="0"/>
        <w:snapToGrid/>
        <w:spacing w:line="578" w:lineRule="exact"/>
        <w:ind w:left="0" w:leftChars="0" w:right="0" w:rightChars="0" w:firstLine="640" w:firstLineChars="200"/>
        <w:textAlignment w:val="auto"/>
        <w:outlineLvl w:val="9"/>
        <w:rPr>
          <w:rFonts w:ascii="黑体" w:hAnsi="宋体" w:eastAsia="黑体"/>
          <w:b/>
          <w:sz w:val="32"/>
          <w:szCs w:val="32"/>
        </w:rPr>
      </w:pPr>
      <w:r>
        <w:rPr>
          <w:rFonts w:hint="default" w:ascii="Times New Roman" w:hAnsi="Times New Roman" w:eastAsia="方正仿宋简体" w:cs="Times New Roman"/>
          <w:sz w:val="32"/>
          <w:szCs w:val="32"/>
          <w:lang w:val="en-US" w:eastAsia="zh-CN"/>
        </w:rPr>
        <w:t>14</w:t>
      </w:r>
      <w:r>
        <w:rPr>
          <w:rFonts w:hint="eastAsia" w:ascii="方正仿宋简体" w:eastAsia="方正仿宋简体"/>
          <w:sz w:val="32"/>
          <w:szCs w:val="32"/>
          <w:lang w:val="en-US" w:eastAsia="zh-CN"/>
        </w:rPr>
        <w:t>.</w:t>
      </w:r>
      <w:r>
        <w:rPr>
          <w:rFonts w:hint="eastAsia" w:ascii="方正仿宋简体" w:eastAsia="方正仿宋简体"/>
          <w:sz w:val="32"/>
          <w:szCs w:val="32"/>
        </w:rPr>
        <w:t>协助有关部门协调县直机关各部门做好维护稳定、离退休干部等工作。</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中共西藏那曲班戈县委机关工作委员会</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中共西藏那曲班戈县委机关工作委员会</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中共西藏那曲班戈县委机关工作委员会</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105.61</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lang w:val="en-US" w:eastAsia="zh-CN"/>
        </w:rPr>
        <w:t>2024年预算资金未拨完</w:t>
      </w:r>
      <w:r>
        <w:rPr>
          <w:rFonts w:hint="eastAsia" w:ascii="仿宋" w:hAnsi="仿宋" w:eastAsia="仿宋"/>
          <w:sz w:val="32"/>
          <w:szCs w:val="32"/>
        </w:rPr>
        <w:t>。其中：上年</w:t>
      </w:r>
      <w:r>
        <w:rPr>
          <w:rFonts w:hint="eastAsia" w:ascii="仿宋" w:hAnsi="仿宋" w:eastAsia="仿宋"/>
          <w:sz w:val="32"/>
          <w:szCs w:val="32"/>
          <w:u w:val="single"/>
          <w:lang w:val="en-US" w:eastAsia="zh-CN"/>
        </w:rPr>
        <w:t>0</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0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86.76</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2024年预算资金未拨完</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173.57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89.67</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11.52</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105.61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2024年预算资金未拨完</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4474.94</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19.19</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12.07</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13.46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105.61</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2024年预算资金未拨完</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148.84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76.89</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万元，比2023年执行数减少</w:t>
      </w:r>
      <w:r>
        <w:rPr>
          <w:rFonts w:hint="eastAsia" w:ascii="仿宋" w:hAnsi="仿宋" w:eastAsia="仿宋"/>
          <w:sz w:val="32"/>
          <w:szCs w:val="32"/>
          <w:u w:val="single"/>
          <w:lang w:val="en-US" w:eastAsia="zh-CN"/>
        </w:rPr>
        <w:t>105.61</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54.56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193.57</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162.47</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11.10</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u w:val="single"/>
        </w:rPr>
      </w:pPr>
      <w:r>
        <w:rPr>
          <w:rFonts w:hint="eastAsia" w:ascii="仿宋" w:hAnsi="仿宋" w:eastAsia="仿宋"/>
          <w:sz w:val="32"/>
          <w:szCs w:val="32"/>
        </w:rPr>
        <w:t>例如：2024年“三公”经费预算数为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0.08</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2024年划拨公车运行经费及公务接待费</w:t>
      </w:r>
      <w:r>
        <w:rPr>
          <w:rFonts w:hint="eastAsia" w:ascii="仿宋" w:hAnsi="仿宋" w:eastAsia="仿宋"/>
          <w:sz w:val="32"/>
          <w:szCs w:val="32"/>
          <w:u w:val="single"/>
        </w:rPr>
        <w:t>。</w:t>
      </w:r>
    </w:p>
    <w:p>
      <w:pPr>
        <w:ind w:firstLine="640" w:firstLineChars="200"/>
        <w:rPr>
          <w:rFonts w:hint="eastAsia"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本</w:t>
      </w:r>
      <w:r>
        <w:rPr>
          <w:rFonts w:hint="eastAsia" w:ascii="仿宋" w:hAnsi="仿宋" w:eastAsia="仿宋"/>
          <w:sz w:val="32"/>
          <w:szCs w:val="32"/>
        </w:rPr>
        <w:t>单位2024年度没有政府性基金安排的支出。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eastAsia" w:ascii="黑体" w:hAnsi="黑体" w:eastAsia="黑体"/>
          <w:sz w:val="32"/>
          <w:szCs w:val="32"/>
        </w:rPr>
      </w:pPr>
      <w:r>
        <w:rPr>
          <w:rFonts w:hint="eastAsia" w:ascii="仿宋" w:hAnsi="仿宋" w:eastAsia="仿宋"/>
          <w:sz w:val="32"/>
          <w:szCs w:val="32"/>
          <w:lang w:val="en-US" w:eastAsia="zh-CN"/>
        </w:rPr>
        <w:t>本</w:t>
      </w:r>
      <w:r>
        <w:rPr>
          <w:rFonts w:hint="eastAsia" w:ascii="仿宋" w:hAnsi="仿宋" w:eastAsia="仿宋"/>
          <w:sz w:val="32"/>
          <w:szCs w:val="32"/>
        </w:rPr>
        <w:t>单位2024年度没有政府性基金“三公”经费的支出。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11.10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0.74</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6.67</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单位人员减少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960" w:firstLineChars="300"/>
        <w:rPr>
          <w:rFonts w:hint="eastAsia" w:ascii="仿宋" w:hAnsi="仿宋" w:eastAsia="仿宋"/>
          <w:sz w:val="32"/>
          <w:szCs w:val="32"/>
        </w:rPr>
      </w:pPr>
      <w:r>
        <w:rPr>
          <w:rFonts w:hint="eastAsia" w:ascii="仿宋" w:hAnsi="仿宋" w:eastAsia="仿宋"/>
          <w:sz w:val="32"/>
          <w:szCs w:val="32"/>
          <w:lang w:val="en-US" w:eastAsia="zh-CN"/>
        </w:rPr>
        <w:t>本</w:t>
      </w:r>
      <w:r>
        <w:rPr>
          <w:rFonts w:hint="eastAsia" w:ascii="仿宋" w:hAnsi="仿宋" w:eastAsia="仿宋"/>
          <w:sz w:val="32"/>
          <w:szCs w:val="32"/>
        </w:rPr>
        <w:t>单位2024年度没有政府</w:t>
      </w:r>
      <w:r>
        <w:rPr>
          <w:rFonts w:hint="eastAsia" w:ascii="仿宋" w:hAnsi="仿宋" w:eastAsia="仿宋"/>
          <w:sz w:val="32"/>
          <w:szCs w:val="32"/>
          <w:lang w:val="en-US" w:eastAsia="zh-CN"/>
        </w:rPr>
        <w:t>政府采购项目</w:t>
      </w:r>
      <w:r>
        <w:rPr>
          <w:rFonts w:hint="eastAsia" w:ascii="仿宋" w:hAnsi="仿宋" w:eastAsia="仿宋"/>
          <w:sz w:val="32"/>
          <w:szCs w:val="32"/>
        </w:rPr>
        <w:t>的支出。</w:t>
      </w:r>
    </w:p>
    <w:p>
      <w:pPr>
        <w:ind w:firstLine="960" w:firstLineChars="300"/>
        <w:rPr>
          <w:rFonts w:hint="eastAsia" w:ascii="仿宋" w:hAnsi="仿宋" w:eastAsia="仿宋"/>
          <w:sz w:val="32"/>
          <w:szCs w:val="32"/>
        </w:rPr>
      </w:pP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ind w:firstLine="640" w:firstLineChars="200"/>
        <w:rPr>
          <w:rFonts w:hint="default" w:ascii="黑体" w:hAnsi="黑体" w:eastAsia="仿宋"/>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本</w:t>
      </w:r>
      <w:r>
        <w:rPr>
          <w:rFonts w:hint="eastAsia" w:ascii="仿宋" w:hAnsi="仿宋" w:eastAsia="仿宋"/>
          <w:sz w:val="32"/>
          <w:szCs w:val="32"/>
        </w:rPr>
        <w:t>单位</w:t>
      </w:r>
      <w:r>
        <w:rPr>
          <w:rFonts w:hint="eastAsia" w:ascii="仿宋" w:hAnsi="仿宋" w:eastAsia="仿宋"/>
          <w:sz w:val="32"/>
          <w:szCs w:val="32"/>
          <w:lang w:val="en-US" w:eastAsia="zh-CN"/>
        </w:rPr>
        <w:t>无国有资产车辆。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193.56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193.56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本单位无扶贫资金</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本单位无政府债务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7EE70"/>
    <w:multiLevelType w:val="singleLevel"/>
    <w:tmpl w:val="92B7EE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43117EF"/>
    <w:rsid w:val="0FE75425"/>
    <w:rsid w:val="1B2C5FE7"/>
    <w:rsid w:val="2087096D"/>
    <w:rsid w:val="242236D7"/>
    <w:rsid w:val="283248A0"/>
    <w:rsid w:val="2DA36AF5"/>
    <w:rsid w:val="37A92DDE"/>
    <w:rsid w:val="43636E1D"/>
    <w:rsid w:val="43AE3A19"/>
    <w:rsid w:val="4B696B9A"/>
    <w:rsid w:val="4F657643"/>
    <w:rsid w:val="595F058B"/>
    <w:rsid w:val="66375CC2"/>
    <w:rsid w:val="752F68D0"/>
    <w:rsid w:val="75BD148A"/>
    <w:rsid w:val="7BF8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4373</Words>
  <Characters>4640</Characters>
  <Lines>33</Lines>
  <Paragraphs>9</Paragraphs>
  <TotalTime>6</TotalTime>
  <ScaleCrop>false</ScaleCrop>
  <LinksUpToDate>false</LinksUpToDate>
  <CharactersWithSpaces>4862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2024-02-02T04:10:20Z</cp:lastPrinted>
  <dcterms:modified xsi:type="dcterms:W3CDTF">2024-02-02T04:11:05Z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F317C4AE4EC54BD783573F984BA5A7E5</vt:lpwstr>
  </property>
</Properties>
</file>