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lang w:eastAsia="zh-CN"/>
        </w:rPr>
        <w:t>人力资源和社会保障局</w:t>
      </w:r>
      <w:r>
        <w:rPr>
          <w:rFonts w:hint="eastAsia" w:ascii="方正小标宋简体" w:hAnsi="仿宋" w:eastAsia="方正小标宋简体"/>
          <w:sz w:val="44"/>
          <w:szCs w:val="44"/>
        </w:rPr>
        <w:t>部门2024年度部门（单位）预算</w:t>
      </w:r>
    </w:p>
    <w:p>
      <w:pPr>
        <w:keepNext w:val="0"/>
        <w:keepLines w:val="0"/>
        <w:pageBreakBefore w:val="0"/>
        <w:widowControl w:val="0"/>
        <w:kinsoku/>
        <w:wordWrap/>
        <w:overflowPunct/>
        <w:topLinePunct w:val="0"/>
        <w:bidi w:val="0"/>
        <w:snapToGrid/>
        <w:spacing w:line="578"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29</w:t>
      </w:r>
      <w:r>
        <w:rPr>
          <w:rFonts w:hint="eastAsia" w:ascii="仿宋" w:hAnsi="仿宋" w:eastAsia="仿宋"/>
          <w:sz w:val="32"/>
          <w:szCs w:val="32"/>
        </w:rPr>
        <w:t>日</w:t>
      </w: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目  录</w:t>
      </w: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人社局</w:t>
      </w:r>
      <w:r>
        <w:rPr>
          <w:rFonts w:hint="eastAsia" w:ascii="方正小标宋简体" w:hAnsi="仿宋" w:eastAsia="方正小标宋简体"/>
          <w:sz w:val="32"/>
          <w:szCs w:val="32"/>
        </w:rPr>
        <w:t>（部门/单位）概况</w:t>
      </w:r>
    </w:p>
    <w:p>
      <w:pPr>
        <w:keepNext w:val="0"/>
        <w:keepLines w:val="0"/>
        <w:pageBreakBefore w:val="0"/>
        <w:widowControl w:val="0"/>
        <w:kinsoku/>
        <w:wordWrap/>
        <w:overflowPunct/>
        <w:topLinePunct w:val="0"/>
        <w:bidi w:val="0"/>
        <w:snapToGrid/>
        <w:spacing w:line="578" w:lineRule="exact"/>
        <w:textAlignment w:val="auto"/>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widowControl w:val="0"/>
        <w:kinsoku/>
        <w:wordWrap/>
        <w:overflowPunct/>
        <w:topLinePunct w:val="0"/>
        <w:bidi w:val="0"/>
        <w:snapToGrid/>
        <w:spacing w:line="578" w:lineRule="exact"/>
        <w:textAlignment w:val="auto"/>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keepNext w:val="0"/>
        <w:keepLines w:val="0"/>
        <w:pageBreakBefore w:val="0"/>
        <w:widowControl w:val="0"/>
        <w:kinsoku/>
        <w:wordWrap/>
        <w:overflowPunct/>
        <w:topLinePunct w:val="0"/>
        <w:bidi w:val="0"/>
        <w:snapToGrid/>
        <w:spacing w:line="578" w:lineRule="exact"/>
        <w:textAlignment w:val="auto"/>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人社局</w:t>
      </w:r>
      <w:r>
        <w:rPr>
          <w:rFonts w:hint="eastAsia" w:ascii="方正小标宋简体" w:hAnsi="仿宋" w:eastAsia="方正小标宋简体"/>
          <w:sz w:val="32"/>
          <w:szCs w:val="32"/>
        </w:rPr>
        <w:t>（部门/单位）部门（单位）预算明细表</w:t>
      </w:r>
    </w:p>
    <w:p>
      <w:pPr>
        <w:keepNext w:val="0"/>
        <w:keepLines w:val="0"/>
        <w:pageBreakBefore w:val="0"/>
        <w:widowControl w:val="0"/>
        <w:kinsoku/>
        <w:wordWrap/>
        <w:overflowPunct/>
        <w:topLinePunct w:val="0"/>
        <w:bidi w:val="0"/>
        <w:snapToGrid/>
        <w:spacing w:line="578" w:lineRule="exact"/>
        <w:jc w:val="left"/>
        <w:textAlignment w:val="auto"/>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人社局</w:t>
      </w:r>
      <w:r>
        <w:rPr>
          <w:rFonts w:hint="eastAsia" w:ascii="方正小标宋简体" w:hAnsi="仿宋" w:eastAsia="方正小标宋简体"/>
          <w:sz w:val="32"/>
          <w:szCs w:val="32"/>
        </w:rPr>
        <w:t>（部门/单位）部门（单位）预算数据分析</w:t>
      </w:r>
    </w:p>
    <w:p>
      <w:pPr>
        <w:keepNext w:val="0"/>
        <w:keepLines w:val="0"/>
        <w:pageBreakBefore w:val="0"/>
        <w:widowControl w:val="0"/>
        <w:kinsoku/>
        <w:wordWrap/>
        <w:overflowPunct/>
        <w:topLinePunct w:val="0"/>
        <w:bidi w:val="0"/>
        <w:snapToGrid/>
        <w:spacing w:line="578" w:lineRule="exact"/>
        <w:textAlignment w:val="auto"/>
        <w:rPr>
          <w:rFonts w:ascii="黑体" w:hAnsi="黑体" w:eastAsia="黑体"/>
          <w:sz w:val="32"/>
          <w:szCs w:val="32"/>
        </w:rPr>
      </w:pPr>
      <w:r>
        <w:rPr>
          <w:rFonts w:hint="eastAsia" w:ascii="黑体" w:hAnsi="黑体" w:eastAsia="黑体"/>
          <w:sz w:val="32"/>
          <w:szCs w:val="32"/>
        </w:rPr>
        <w:t>一、部门/单位收支总体情况</w:t>
      </w:r>
    </w:p>
    <w:p>
      <w:pPr>
        <w:keepNext w:val="0"/>
        <w:keepLines w:val="0"/>
        <w:pageBreakBefore w:val="0"/>
        <w:widowControl w:val="0"/>
        <w:kinsoku/>
        <w:wordWrap/>
        <w:overflowPunct/>
        <w:topLinePunct w:val="0"/>
        <w:bidi w:val="0"/>
        <w:snapToGrid/>
        <w:spacing w:line="578" w:lineRule="exact"/>
        <w:textAlignment w:val="auto"/>
        <w:rPr>
          <w:rFonts w:ascii="黑体" w:hAnsi="黑体" w:eastAsia="黑体"/>
          <w:sz w:val="32"/>
          <w:szCs w:val="32"/>
        </w:rPr>
      </w:pPr>
      <w:r>
        <w:rPr>
          <w:rFonts w:hint="eastAsia" w:ascii="黑体" w:hAnsi="黑体" w:eastAsia="黑体"/>
          <w:sz w:val="32"/>
          <w:szCs w:val="32"/>
        </w:rPr>
        <w:t>二、部门/单位收入总体情况</w:t>
      </w:r>
    </w:p>
    <w:p>
      <w:pPr>
        <w:keepNext w:val="0"/>
        <w:keepLines w:val="0"/>
        <w:pageBreakBefore w:val="0"/>
        <w:widowControl w:val="0"/>
        <w:kinsoku/>
        <w:wordWrap/>
        <w:overflowPunct/>
        <w:topLinePunct w:val="0"/>
        <w:bidi w:val="0"/>
        <w:snapToGrid/>
        <w:spacing w:line="578" w:lineRule="exact"/>
        <w:textAlignment w:val="auto"/>
        <w:rPr>
          <w:rFonts w:ascii="黑体" w:hAnsi="黑体" w:eastAsia="黑体"/>
          <w:sz w:val="32"/>
          <w:szCs w:val="32"/>
        </w:rPr>
      </w:pPr>
      <w:r>
        <w:rPr>
          <w:rFonts w:hint="eastAsia" w:ascii="黑体" w:hAnsi="黑体" w:eastAsia="黑体"/>
          <w:sz w:val="32"/>
          <w:szCs w:val="32"/>
        </w:rPr>
        <w:t>三、部门/单位支出总体情况</w:t>
      </w:r>
    </w:p>
    <w:p>
      <w:pPr>
        <w:keepNext w:val="0"/>
        <w:keepLines w:val="0"/>
        <w:pageBreakBefore w:val="0"/>
        <w:widowControl w:val="0"/>
        <w:kinsoku/>
        <w:wordWrap/>
        <w:overflowPunct/>
        <w:topLinePunct w:val="0"/>
        <w:bidi w:val="0"/>
        <w:snapToGrid/>
        <w:spacing w:line="578" w:lineRule="exact"/>
        <w:textAlignment w:val="auto"/>
        <w:rPr>
          <w:rFonts w:ascii="黑体" w:hAnsi="黑体" w:eastAsia="黑体"/>
          <w:sz w:val="32"/>
          <w:szCs w:val="32"/>
        </w:rPr>
      </w:pPr>
      <w:r>
        <w:rPr>
          <w:rFonts w:hint="eastAsia" w:ascii="黑体" w:hAnsi="黑体" w:eastAsia="黑体"/>
          <w:sz w:val="32"/>
          <w:szCs w:val="32"/>
        </w:rPr>
        <w:t>四、财政拨款收支总体情况</w:t>
      </w:r>
    </w:p>
    <w:p>
      <w:pPr>
        <w:keepNext w:val="0"/>
        <w:keepLines w:val="0"/>
        <w:pageBreakBefore w:val="0"/>
        <w:widowControl w:val="0"/>
        <w:kinsoku/>
        <w:wordWrap/>
        <w:overflowPunct/>
        <w:topLinePunct w:val="0"/>
        <w:bidi w:val="0"/>
        <w:snapToGrid/>
        <w:spacing w:line="578" w:lineRule="exact"/>
        <w:textAlignment w:val="auto"/>
        <w:rPr>
          <w:rFonts w:ascii="黑体" w:hAnsi="黑体" w:eastAsia="黑体"/>
          <w:sz w:val="32"/>
          <w:szCs w:val="32"/>
        </w:rPr>
      </w:pPr>
      <w:r>
        <w:rPr>
          <w:rFonts w:hint="eastAsia" w:ascii="黑体" w:hAnsi="黑体" w:eastAsia="黑体"/>
          <w:sz w:val="32"/>
          <w:szCs w:val="32"/>
        </w:rPr>
        <w:t>五、一般公共预算支出总体情况（按功能分类科目）</w:t>
      </w:r>
    </w:p>
    <w:p>
      <w:pPr>
        <w:keepNext w:val="0"/>
        <w:keepLines w:val="0"/>
        <w:pageBreakBefore w:val="0"/>
        <w:widowControl w:val="0"/>
        <w:kinsoku/>
        <w:wordWrap/>
        <w:overflowPunct/>
        <w:topLinePunct w:val="0"/>
        <w:bidi w:val="0"/>
        <w:snapToGrid/>
        <w:spacing w:line="578" w:lineRule="exact"/>
        <w:textAlignment w:val="auto"/>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keepNext w:val="0"/>
        <w:keepLines w:val="0"/>
        <w:pageBreakBefore w:val="0"/>
        <w:widowControl w:val="0"/>
        <w:kinsoku/>
        <w:wordWrap/>
        <w:overflowPunct/>
        <w:topLinePunct w:val="0"/>
        <w:bidi w:val="0"/>
        <w:snapToGrid/>
        <w:spacing w:line="578" w:lineRule="exact"/>
        <w:textAlignment w:val="auto"/>
        <w:rPr>
          <w:rFonts w:ascii="黑体" w:hAnsi="黑体" w:eastAsia="黑体"/>
          <w:sz w:val="32"/>
          <w:szCs w:val="32"/>
        </w:rPr>
      </w:pPr>
      <w:r>
        <w:rPr>
          <w:rFonts w:hint="eastAsia" w:ascii="黑体" w:hAnsi="黑体" w:eastAsia="黑体"/>
          <w:sz w:val="32"/>
          <w:szCs w:val="32"/>
        </w:rPr>
        <w:t>七、一般公共预算“三公”经费支出总体情况</w:t>
      </w:r>
    </w:p>
    <w:p>
      <w:pPr>
        <w:keepNext w:val="0"/>
        <w:keepLines w:val="0"/>
        <w:pageBreakBefore w:val="0"/>
        <w:widowControl w:val="0"/>
        <w:kinsoku/>
        <w:wordWrap/>
        <w:overflowPunct/>
        <w:topLinePunct w:val="0"/>
        <w:bidi w:val="0"/>
        <w:snapToGrid/>
        <w:spacing w:line="578" w:lineRule="exact"/>
        <w:textAlignment w:val="auto"/>
        <w:rPr>
          <w:rFonts w:ascii="黑体" w:hAnsi="黑体" w:eastAsia="黑体"/>
          <w:sz w:val="32"/>
          <w:szCs w:val="32"/>
        </w:rPr>
      </w:pPr>
      <w:r>
        <w:rPr>
          <w:rFonts w:hint="eastAsia" w:ascii="黑体" w:hAnsi="黑体" w:eastAsia="黑体"/>
          <w:sz w:val="32"/>
          <w:szCs w:val="32"/>
        </w:rPr>
        <w:t>八、政府性基金预算支出总体情况</w:t>
      </w:r>
    </w:p>
    <w:p>
      <w:pPr>
        <w:keepNext w:val="0"/>
        <w:keepLines w:val="0"/>
        <w:pageBreakBefore w:val="0"/>
        <w:widowControl w:val="0"/>
        <w:kinsoku/>
        <w:wordWrap/>
        <w:overflowPunct/>
        <w:topLinePunct w:val="0"/>
        <w:bidi w:val="0"/>
        <w:snapToGrid/>
        <w:spacing w:line="578" w:lineRule="exact"/>
        <w:textAlignment w:val="auto"/>
        <w:rPr>
          <w:rFonts w:ascii="黑体" w:hAnsi="黑体" w:eastAsia="黑体"/>
          <w:sz w:val="32"/>
          <w:szCs w:val="32"/>
        </w:rPr>
      </w:pPr>
      <w:r>
        <w:rPr>
          <w:rFonts w:hint="eastAsia" w:ascii="黑体" w:hAnsi="黑体" w:eastAsia="黑体"/>
          <w:sz w:val="32"/>
          <w:szCs w:val="32"/>
        </w:rPr>
        <w:t>九、政府性基金“三公”经费支出总体情况</w:t>
      </w:r>
    </w:p>
    <w:p>
      <w:pPr>
        <w:keepNext w:val="0"/>
        <w:keepLines w:val="0"/>
        <w:pageBreakBefore w:val="0"/>
        <w:widowControl w:val="0"/>
        <w:kinsoku/>
        <w:wordWrap/>
        <w:overflowPunct/>
        <w:topLinePunct w:val="0"/>
        <w:bidi w:val="0"/>
        <w:snapToGrid/>
        <w:spacing w:line="578" w:lineRule="exact"/>
        <w:textAlignment w:val="auto"/>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keepNext w:val="0"/>
        <w:keepLines w:val="0"/>
        <w:pageBreakBefore w:val="0"/>
        <w:widowControl w:val="0"/>
        <w:kinsoku/>
        <w:wordWrap/>
        <w:overflowPunct/>
        <w:topLinePunct w:val="0"/>
        <w:bidi w:val="0"/>
        <w:snapToGrid/>
        <w:spacing w:line="578" w:lineRule="exact"/>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keepNext w:val="0"/>
        <w:keepLines w:val="0"/>
        <w:pageBreakBefore w:val="0"/>
        <w:widowControl w:val="0"/>
        <w:kinsoku/>
        <w:wordWrap/>
        <w:overflowPunct/>
        <w:topLinePunct w:val="0"/>
        <w:bidi w:val="0"/>
        <w:snapToGrid/>
        <w:spacing w:line="578" w:lineRule="exact"/>
        <w:jc w:val="center"/>
        <w:textAlignment w:val="auto"/>
        <w:rPr>
          <w:rFonts w:ascii="仿宋" w:hAnsi="仿宋" w:eastAsia="仿宋"/>
          <w:sz w:val="32"/>
          <w:szCs w:val="32"/>
        </w:rPr>
      </w:pPr>
      <w:r>
        <w:rPr>
          <w:rFonts w:hint="eastAsia" w:ascii="方正小标宋简体" w:hAnsi="方正小标宋简体" w:eastAsia="方正小标宋简体" w:cs="方正小标宋简体"/>
          <w:sz w:val="32"/>
          <w:szCs w:val="32"/>
          <w:lang w:eastAsia="zh-CN"/>
        </w:rPr>
        <w:t>班戈县人力资源和社会保障局</w:t>
      </w:r>
      <w:r>
        <w:rPr>
          <w:rFonts w:hint="eastAsia" w:ascii="方正小标宋简体" w:hAnsi="方正小标宋简体" w:eastAsia="方正小标宋简体" w:cs="方正小标宋简体"/>
          <w:sz w:val="32"/>
          <w:szCs w:val="32"/>
        </w:rPr>
        <w:t>概况</w:t>
      </w:r>
    </w:p>
    <w:p>
      <w:pPr>
        <w:keepNext w:val="0"/>
        <w:keepLines w:val="0"/>
        <w:pageBreakBefore w:val="0"/>
        <w:widowControl w:val="0"/>
        <w:kinsoku/>
        <w:wordWrap/>
        <w:overflowPunct/>
        <w:topLinePunct w:val="0"/>
        <w:bidi w:val="0"/>
        <w:snapToGrid/>
        <w:spacing w:line="578" w:lineRule="exact"/>
        <w:textAlignment w:val="auto"/>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widowControl w:val="0"/>
        <w:kinsoku/>
        <w:wordWrap/>
        <w:overflowPunct/>
        <w:topLinePunct w:val="0"/>
        <w:bidi w:val="0"/>
        <w:snapToGrid/>
        <w:spacing w:line="578" w:lineRule="exact"/>
        <w:textAlignment w:val="auto"/>
        <w:rPr>
          <w:rFonts w:hint="eastAsia"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人社局</w:t>
      </w:r>
      <w:r>
        <w:rPr>
          <w:rFonts w:hint="eastAsia" w:ascii="方正小标宋简体" w:hAnsi="仿宋" w:eastAsia="方正小标宋简体"/>
          <w:sz w:val="32"/>
          <w:szCs w:val="32"/>
        </w:rPr>
        <w:t>（部门）概况</w:t>
      </w:r>
    </w:p>
    <w:p>
      <w:pPr>
        <w:keepNext w:val="0"/>
        <w:keepLines w:val="0"/>
        <w:pageBreakBefore w:val="0"/>
        <w:widowControl w:val="0"/>
        <w:kinsoku/>
        <w:wordWrap/>
        <w:overflowPunct/>
        <w:topLinePunct w:val="0"/>
        <w:bidi w:val="0"/>
        <w:snapToGrid/>
        <w:spacing w:line="578" w:lineRule="exact"/>
        <w:textAlignment w:val="auto"/>
        <w:rPr>
          <w:rFonts w:hint="eastAsia" w:ascii="黑体" w:hAnsi="黑体" w:eastAsia="黑体"/>
          <w:sz w:val="32"/>
          <w:szCs w:val="32"/>
        </w:rPr>
      </w:pPr>
      <w:r>
        <w:rPr>
          <w:rFonts w:hint="eastAsia" w:ascii="黑体" w:hAnsi="黑体" w:eastAsia="黑体"/>
          <w:sz w:val="32"/>
          <w:szCs w:val="32"/>
        </w:rPr>
        <w:t>一、主要职能</w:t>
      </w:r>
    </w:p>
    <w:p>
      <w:pPr>
        <w:keepNext w:val="0"/>
        <w:keepLines w:val="0"/>
        <w:pageBreakBefore w:val="0"/>
        <w:widowControl w:val="0"/>
        <w:kinsoku/>
        <w:wordWrap/>
        <w:overflowPunct/>
        <w:topLinePunct w:val="0"/>
        <w:bidi w:val="0"/>
        <w:snapToGrid/>
        <w:spacing w:line="578" w:lineRule="exact"/>
        <w:textAlignment w:val="auto"/>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组织部门印发的“三定”方案文件，规定的部门主要职责。主要职责是</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1、</w:t>
      </w:r>
      <w:r>
        <w:rPr>
          <w:rFonts w:hint="eastAsia" w:ascii="方正仿宋简体" w:hAnsi="方正仿宋简体" w:eastAsia="方正仿宋简体" w:cs="方正仿宋简体"/>
          <w:color w:val="000000" w:themeColor="text1"/>
          <w:sz w:val="32"/>
          <w:szCs w:val="32"/>
          <w14:textFill>
            <w14:solidFill>
              <w14:schemeClr w14:val="tx1"/>
            </w14:solidFill>
          </w14:textFill>
        </w:rPr>
        <w:t>贯彻执行国家和自治区人力资源和社会保障的有关法律法规，参与起草人力资源和社会保障地方性法规和政府规章草案，拟订全县人力资源和社会保障事业发展政策、规划并组织实施和监督检查。</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sz w:val="32"/>
          <w:szCs w:val="32"/>
          <w14:textFill>
            <w14:solidFill>
              <w14:schemeClr w14:val="tx1"/>
            </w14:solidFill>
          </w14:textFill>
        </w:rPr>
        <w:t>拟订全县人カ资源市场发展规划和人力资源服务业发展、人力资源流动政策并组织实施，促进人力资源合理流动、有效配置。</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3、</w:t>
      </w:r>
      <w:r>
        <w:rPr>
          <w:rFonts w:hint="eastAsia" w:ascii="方正仿宋简体" w:hAnsi="方正仿宋简体" w:eastAsia="方正仿宋简体" w:cs="方正仿宋简体"/>
          <w:color w:val="000000" w:themeColor="text1"/>
          <w:sz w:val="32"/>
          <w:szCs w:val="32"/>
          <w14:textFill>
            <w14:solidFill>
              <w14:schemeClr w14:val="tx1"/>
            </w14:solidFill>
          </w14:textFill>
        </w:rPr>
        <w:t>负责促进全县就业工作，拟订统筹城乡的就业发展规划和政策并组织实施，完善公共就业创业服务体系，拟订就业援助制度，牵头拟订高校毕业生就业政策。统筹落实国家和自治区及市委、市政府、县委、县政府面向城乡劳动者的职业技能培训制度。会同有关部门拟订高技能人オ，农村实用人才培养和激励政策。</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4、</w:t>
      </w:r>
      <w:r>
        <w:rPr>
          <w:rFonts w:hint="eastAsia" w:ascii="方正仿宋简体" w:hAnsi="方正仿宋简体" w:eastAsia="方正仿宋简体" w:cs="方正仿宋简体"/>
          <w:color w:val="000000" w:themeColor="text1"/>
          <w:sz w:val="32"/>
          <w:szCs w:val="32"/>
          <w14:textFill>
            <w14:solidFill>
              <w14:schemeClr w14:val="tx1"/>
            </w14:solidFill>
          </w14:textFill>
        </w:rPr>
        <w:t>统筹推进建立覆盖城乡的多层次社会保障体系，贯彻国家、自治区养老、失业、工伤等社会保险及其补充保险政策和标准，经办参保人员社会保险关系转移接续。拟订养老、失业工伤等社会保险及其补充保险基金管理和监督制度并组织实施编制相关社会保险基金预决算报表，贯彻国家、自治区相关社会保障基金投资运营政策，会同有关部门实施全民参保计划并建立社会保险公共服务平台，组织实施国家、自治区基本养老保险待遇领取人员跨省安置政策。</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5、</w:t>
      </w:r>
      <w:r>
        <w:rPr>
          <w:rFonts w:hint="eastAsia" w:ascii="方正仿宋简体" w:hAnsi="方正仿宋简体" w:eastAsia="方正仿宋简体" w:cs="方正仿宋简体"/>
          <w:color w:val="000000" w:themeColor="text1"/>
          <w:sz w:val="32"/>
          <w:szCs w:val="32"/>
          <w14:textFill>
            <w14:solidFill>
              <w14:schemeClr w14:val="tx1"/>
            </w14:solidFill>
          </w14:textFill>
        </w:rPr>
        <w:t>负责就业、失业和相关社会保险基金预测预警和信息引导，拟订应对预案，实施预防、调节和控制，保持就业形势稳定和相关社会保险基金总体收支平衡。</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6、</w:t>
      </w:r>
      <w:r>
        <w:rPr>
          <w:rFonts w:hint="eastAsia" w:ascii="方正仿宋简体" w:hAnsi="方正仿宋简体" w:eastAsia="方正仿宋简体" w:cs="方正仿宋简体"/>
          <w:color w:val="000000" w:themeColor="text1"/>
          <w:sz w:val="32"/>
          <w:szCs w:val="32"/>
          <w14:textFill>
            <w14:solidFill>
              <w14:schemeClr w14:val="tx1"/>
            </w14:solidFill>
          </w14:textFill>
        </w:rPr>
        <w:t>监督实施劳动人事争议调解仲裁制度和劳动关系政策。完善劳动关系协调机制。监督实施职工工作时间、休息休假和假期制度，监督实施消除非法使用童工政策和女工、未成年工的特殊劳动保护政策。组织实施劳动保障监察，协调劳动者维权工作依法査处重大案件。指导监督各乡(镇)劳动保障监察工作。</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7、</w:t>
      </w:r>
      <w:r>
        <w:rPr>
          <w:rFonts w:hint="eastAsia" w:ascii="方正仿宋简体" w:hAnsi="方正仿宋简体" w:eastAsia="方正仿宋简体" w:cs="方正仿宋简体"/>
          <w:color w:val="000000" w:themeColor="text1"/>
          <w:sz w:val="32"/>
          <w:szCs w:val="32"/>
          <w14:textFill>
            <w14:solidFill>
              <w14:schemeClr w14:val="tx1"/>
            </w14:solidFill>
          </w14:textFill>
        </w:rPr>
        <w:t>牵头推进深化职称制度改革，贯彻专业技术人员管理继续教育和博士后管理等政策，负责高层次专业技术人才选拔和培养工作，拟订并组织实施吸引留学人员来华(回国)工作或定居管理工作政策，拟订技能人才培养、评价、使用和激励制度。完善职业资格制度，健全职业技能多元化评价政策。</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8、</w:t>
      </w:r>
      <w:r>
        <w:rPr>
          <w:rFonts w:hint="eastAsia" w:ascii="方正仿宋简体" w:hAnsi="方正仿宋简体" w:eastAsia="方正仿宋简体" w:cs="方正仿宋简体"/>
          <w:color w:val="000000" w:themeColor="text1"/>
          <w:sz w:val="32"/>
          <w:szCs w:val="32"/>
          <w14:textFill>
            <w14:solidFill>
              <w14:schemeClr w14:val="tx1"/>
            </w14:solidFill>
          </w14:textFill>
        </w:rPr>
        <w:t>会同有关部门指导事业单位人事制度改革，按照管理权限拟订事业单位岗位设置，公开招聘、聘用管理等人事综合管理政策并组织实施，拟订事业单位人员和机关工勤人员管理政策并组织实施。</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9、</w:t>
      </w:r>
      <w:r>
        <w:rPr>
          <w:rFonts w:hint="eastAsia" w:ascii="方正仿宋简体" w:hAnsi="方正仿宋简体" w:eastAsia="方正仿宋简体" w:cs="方正仿宋简体"/>
          <w:color w:val="000000" w:themeColor="text1"/>
          <w:sz w:val="32"/>
          <w:szCs w:val="32"/>
          <w14:textFill>
            <w14:solidFill>
              <w14:schemeClr w14:val="tx1"/>
            </w14:solidFill>
          </w14:textFill>
        </w:rPr>
        <w:t>贯彻自治区表彰奖励办法，综合管理表彰奖励工作承担县级评比达标表彰工作，根据授权，承办以县委、县政府名义开展的全县表彰奖励活动的申报备案工作。</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10、</w:t>
      </w:r>
      <w:r>
        <w:rPr>
          <w:rFonts w:hint="eastAsia" w:ascii="方正仿宋简体" w:hAnsi="方正仿宋简体" w:eastAsia="方正仿宋简体" w:cs="方正仿宋简体"/>
          <w:color w:val="000000" w:themeColor="text1"/>
          <w:sz w:val="32"/>
          <w:szCs w:val="32"/>
          <w14:textFill>
            <w14:solidFill>
              <w14:schemeClr w14:val="tx1"/>
            </w14:solidFill>
          </w14:textFill>
        </w:rPr>
        <w:t>会同有关部门贯彻执行事业单位人员工资收入分配政策，落实企事业单位人员工资决定、正常增长和支付保障机制。执行企事业单位人员福利和离退休政策。</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11、</w:t>
      </w:r>
      <w:r>
        <w:rPr>
          <w:rFonts w:hint="eastAsia" w:ascii="方正仿宋简体" w:hAnsi="方正仿宋简体" w:eastAsia="方正仿宋简体" w:cs="方正仿宋简体"/>
          <w:color w:val="000000" w:themeColor="text1"/>
          <w:sz w:val="32"/>
          <w:szCs w:val="32"/>
          <w14:textFill>
            <w14:solidFill>
              <w14:schemeClr w14:val="tx1"/>
            </w14:solidFill>
          </w14:textFill>
        </w:rPr>
        <w:t>会同有关部门拟订农牧民工工作的综合性政策和规划，推动相关政策落实，协调解决重点难点问题，维护农民工合法权益</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12、</w:t>
      </w:r>
      <w:r>
        <w:rPr>
          <w:rFonts w:hint="eastAsia" w:ascii="方正仿宋简体" w:hAnsi="方正仿宋简体" w:eastAsia="方正仿宋简体" w:cs="方正仿宋简体"/>
          <w:color w:val="000000" w:themeColor="text1"/>
          <w:sz w:val="32"/>
          <w:szCs w:val="32"/>
          <w14:textFill>
            <w14:solidFill>
              <w14:schemeClr w14:val="tx1"/>
            </w14:solidFill>
          </w14:textFill>
        </w:rPr>
        <w:t>负责本行业领域安全生产监管和应急处置工作</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13、</w:t>
      </w:r>
      <w:r>
        <w:rPr>
          <w:rFonts w:hint="eastAsia" w:ascii="方正仿宋简体" w:hAnsi="方正仿宋简体" w:eastAsia="方正仿宋简体" w:cs="方正仿宋简体"/>
          <w:color w:val="000000" w:themeColor="text1"/>
          <w:sz w:val="32"/>
          <w:szCs w:val="32"/>
          <w14:textFill>
            <w14:solidFill>
              <w14:schemeClr w14:val="tx1"/>
            </w14:solidFill>
          </w14:textFill>
        </w:rPr>
        <w:t>完成县委和县政府交办的其他任务。</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14、</w:t>
      </w:r>
      <w:r>
        <w:rPr>
          <w:rFonts w:hint="eastAsia" w:ascii="方正仿宋简体" w:hAnsi="方正仿宋简体" w:eastAsia="方正仿宋简体" w:cs="方正仿宋简体"/>
          <w:color w:val="000000" w:themeColor="text1"/>
          <w:sz w:val="32"/>
          <w:szCs w:val="32"/>
          <w14:textFill>
            <w14:solidFill>
              <w14:schemeClr w14:val="tx1"/>
            </w14:solidFill>
          </w14:textFill>
        </w:rPr>
        <w:t>职能转变。深入推进简政放权、放管结合、优化服务改革，进一步减少行政审批事项，规范和优化对外办理事项，减少职业资格许可和认定等审批事项，实行国家职业资格目录清单管理，加强事中事后监管，创新就业和社会保障等公共服务方式，加强信息共享，提高公共服务水平。</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15、</w:t>
      </w:r>
      <w:r>
        <w:rPr>
          <w:rFonts w:hint="eastAsia" w:ascii="方正仿宋简体" w:hAnsi="方正仿宋简体" w:eastAsia="方正仿宋简体" w:cs="方正仿宋简体"/>
          <w:color w:val="000000" w:themeColor="text1"/>
          <w:sz w:val="32"/>
          <w:szCs w:val="32"/>
          <w14:textFill>
            <w14:solidFill>
              <w14:schemeClr w14:val="tx1"/>
            </w14:solidFill>
          </w14:textFill>
        </w:rPr>
        <w:t>与县教育局的有关职责分工。县人力资源和社会保障局牵头，会同县教育局等部门拟订高校毕业生就业政策。县人力资源和社会保障局负责高校毕业生离校后的就业指导和服务工作。县教育局负责高校毕业生离校前的就业指导和服务工作。</w:t>
      </w:r>
    </w:p>
    <w:p>
      <w:pPr>
        <w:keepNext w:val="0"/>
        <w:keepLines w:val="0"/>
        <w:pageBreakBefore w:val="0"/>
        <w:widowControl w:val="0"/>
        <w:kinsoku/>
        <w:wordWrap/>
        <w:overflowPunct/>
        <w:topLinePunct w:val="0"/>
        <w:bidi w:val="0"/>
        <w:snapToGrid/>
        <w:spacing w:line="578" w:lineRule="exact"/>
        <w:textAlignment w:val="auto"/>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部门内设</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u w:val="single"/>
          <w:lang w:val="en-US" w:eastAsia="zh-CN"/>
        </w:rPr>
        <w:t>1</w:t>
      </w:r>
      <w:r>
        <w:rPr>
          <w:rFonts w:hint="eastAsia" w:ascii="方正仿宋简体" w:hAnsi="方正仿宋简体" w:eastAsia="方正仿宋简体" w:cs="方正仿宋简体"/>
          <w:sz w:val="32"/>
          <w:szCs w:val="32"/>
        </w:rPr>
        <w:t>个机构、</w:t>
      </w:r>
      <w:r>
        <w:rPr>
          <w:rFonts w:hint="eastAsia" w:ascii="方正仿宋简体" w:hAnsi="方正仿宋简体" w:eastAsia="方正仿宋简体" w:cs="方正仿宋简体"/>
          <w:sz w:val="32"/>
          <w:szCs w:val="32"/>
          <w:lang w:val="en-US" w:eastAsia="zh-CN"/>
        </w:rPr>
        <w:t>0</w:t>
      </w:r>
      <w:r>
        <w:rPr>
          <w:rFonts w:hint="eastAsia" w:ascii="方正仿宋简体" w:hAnsi="方正仿宋简体" w:eastAsia="方正仿宋简体" w:cs="方正仿宋简体"/>
          <w:sz w:val="32"/>
          <w:szCs w:val="32"/>
        </w:rPr>
        <w:t>个处（详细到个二级预算单位。</w:t>
      </w:r>
    </w:p>
    <w:p>
      <w:pPr>
        <w:keepNext w:val="0"/>
        <w:keepLines w:val="0"/>
        <w:pageBreakBefore w:val="0"/>
        <w:widowControl w:val="0"/>
        <w:kinsoku/>
        <w:wordWrap/>
        <w:overflowPunct/>
        <w:topLinePunct w:val="0"/>
        <w:bidi w:val="0"/>
        <w:snapToGrid/>
        <w:spacing w:line="578" w:lineRule="exact"/>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无</w:t>
      </w:r>
      <w:r>
        <w:rPr>
          <w:rFonts w:hint="eastAsia" w:ascii="方正仿宋简体" w:hAnsi="方正仿宋简体" w:eastAsia="方正仿宋简体" w:cs="方正仿宋简体"/>
          <w:sz w:val="32"/>
          <w:szCs w:val="32"/>
        </w:rPr>
        <w:t>纳入本部门202</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年部门预算编制范围的二级预算单位包括</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纳入本部门（单位）预算编制范围的二级预算单位包括</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bidi w:val="0"/>
        <w:snapToGrid/>
        <w:spacing w:line="578" w:lineRule="exact"/>
        <w:jc w:val="both"/>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lang w:eastAsia="zh-CN"/>
        </w:rPr>
        <w:t>班戈县人社局</w:t>
      </w:r>
      <w:r>
        <w:rPr>
          <w:rFonts w:hint="eastAsia" w:ascii="方正小标宋简体" w:hAnsi="仿宋" w:eastAsia="方正小标宋简体"/>
          <w:sz w:val="32"/>
          <w:szCs w:val="32"/>
        </w:rPr>
        <w:t>2024年度预算明细表</w:t>
      </w: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jc w:val="both"/>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黑体" w:hAnsi="黑体" w:eastAsia="黑体"/>
          <w:sz w:val="32"/>
          <w:szCs w:val="32"/>
        </w:rPr>
      </w:pPr>
      <w:r>
        <w:rPr>
          <w:rFonts w:hint="eastAsia" w:ascii="方正小标宋简体" w:hAnsi="仿宋" w:eastAsia="方正小标宋简体"/>
          <w:sz w:val="32"/>
          <w:szCs w:val="32"/>
          <w:lang w:eastAsia="zh-CN"/>
        </w:rPr>
        <w:t>班戈县人社局</w:t>
      </w:r>
      <w:r>
        <w:rPr>
          <w:rFonts w:hint="eastAsia" w:ascii="方正小标宋简体" w:hAnsi="仿宋" w:eastAsia="方正小标宋简体"/>
          <w:sz w:val="32"/>
          <w:szCs w:val="32"/>
        </w:rPr>
        <w:t>2024年度部门（单位）预算数据分析</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黑体" w:hAnsi="黑体" w:eastAsia="黑体"/>
          <w:sz w:val="32"/>
          <w:szCs w:val="32"/>
        </w:rPr>
      </w:pPr>
      <w:r>
        <w:rPr>
          <w:rFonts w:hint="eastAsia" w:ascii="黑体" w:hAnsi="黑体" w:eastAsia="黑体"/>
          <w:sz w:val="32"/>
          <w:szCs w:val="32"/>
        </w:rPr>
        <w:t>一、部门（单位）收支总体情况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lang w:val="en-US" w:eastAsia="zh-CN"/>
        </w:rPr>
        <w:t>2233.84</w:t>
      </w:r>
      <w:r>
        <w:rPr>
          <w:rFonts w:hint="eastAsia" w:ascii="仿宋" w:hAnsi="仿宋" w:eastAsia="仿宋"/>
          <w:sz w:val="32"/>
          <w:szCs w:val="32"/>
        </w:rPr>
        <w:t>万元。收入包括：一般公共预算拨款收入、政府性</w:t>
      </w:r>
      <w:r>
        <w:rPr>
          <w:rFonts w:ascii="仿宋" w:hAnsi="仿宋" w:eastAsia="仿宋"/>
          <w:sz w:val="32"/>
          <w:szCs w:val="32"/>
        </w:rPr>
        <w:t>基金拨款收入、国资预算拨款收入、专户资金收入、</w:t>
      </w:r>
      <w:r>
        <w:rPr>
          <w:rFonts w:hint="eastAsia" w:ascii="仿宋" w:hAnsi="仿宋" w:eastAsia="仿宋"/>
          <w:sz w:val="32"/>
          <w:szCs w:val="32"/>
        </w:rPr>
        <w:t>事业收入、事业单位经营收入、其他收入、使用非财政拨款结余、上年结转；支出包括：一般公共服务支出、外交支出、教育支出、科学技术支出、文化旅游体育与传媒支出、社会保障和就业支出、卫生健康支出、住房保障支</w:t>
      </w:r>
      <w:r>
        <w:rPr>
          <w:rFonts w:hint="eastAsia" w:ascii="仿宋" w:hAnsi="仿宋" w:eastAsia="仿宋"/>
          <w:sz w:val="32"/>
          <w:szCs w:val="32"/>
          <w:lang w:eastAsia="zh-CN"/>
        </w:rPr>
        <w:t>出</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黑体" w:hAnsi="黑体" w:eastAsia="黑体"/>
          <w:sz w:val="32"/>
          <w:szCs w:val="32"/>
        </w:rPr>
      </w:pPr>
      <w:r>
        <w:rPr>
          <w:rFonts w:hint="eastAsia" w:ascii="黑体" w:hAnsi="黑体" w:eastAsia="黑体"/>
          <w:sz w:val="32"/>
          <w:szCs w:val="32"/>
        </w:rPr>
        <w:t>二、部门（单位）收入总体情况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lang w:val="en-US" w:eastAsia="zh-CN"/>
        </w:rPr>
        <w:t>2233.84</w:t>
      </w:r>
      <w:r>
        <w:rPr>
          <w:rFonts w:hint="eastAsia" w:ascii="仿宋" w:hAnsi="仿宋" w:eastAsia="仿宋"/>
          <w:sz w:val="32"/>
          <w:szCs w:val="32"/>
        </w:rPr>
        <w:t>万元，同比减少</w:t>
      </w:r>
      <w:r>
        <w:rPr>
          <w:rFonts w:hint="eastAsia" w:ascii="仿宋" w:hAnsi="仿宋" w:eastAsia="仿宋"/>
          <w:sz w:val="32"/>
          <w:szCs w:val="32"/>
          <w:u w:val="single"/>
          <w:lang w:val="en-US" w:eastAsia="zh-CN"/>
        </w:rPr>
        <w:t>276.98</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val="en-US" w:eastAsia="zh-CN"/>
        </w:rPr>
        <w:t>2023年转付了公益性岗位及三支一扶社保补缴</w:t>
      </w:r>
      <w:r>
        <w:rPr>
          <w:rFonts w:hint="eastAsia" w:ascii="仿宋" w:hAnsi="仿宋" w:eastAsia="仿宋"/>
          <w:sz w:val="32"/>
          <w:szCs w:val="32"/>
        </w:rPr>
        <w:t>。其中：上年结转</w:t>
      </w:r>
      <w:r>
        <w:rPr>
          <w:rFonts w:hint="eastAsia" w:ascii="仿宋" w:hAnsi="仿宋" w:eastAsia="仿宋"/>
          <w:sz w:val="32"/>
          <w:szCs w:val="32"/>
          <w:u w:val="single"/>
          <w:lang w:val="en-US" w:eastAsia="zh-CN"/>
        </w:rPr>
        <w:t>7.07</w:t>
      </w:r>
      <w:r>
        <w:rPr>
          <w:rFonts w:hint="eastAsia" w:ascii="仿宋" w:hAnsi="仿宋" w:eastAsia="仿宋"/>
          <w:sz w:val="32"/>
          <w:szCs w:val="32"/>
        </w:rPr>
        <w:t>万元， 占</w:t>
      </w:r>
      <w:r>
        <w:rPr>
          <w:rFonts w:hint="eastAsia" w:ascii="仿宋" w:hAnsi="仿宋" w:eastAsia="仿宋"/>
          <w:sz w:val="32"/>
          <w:szCs w:val="32"/>
          <w:u w:val="single"/>
          <w:lang w:val="en-US" w:eastAsia="zh-CN"/>
        </w:rPr>
        <w:t>0.3</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lang w:val="en-US" w:eastAsia="zh-CN"/>
        </w:rPr>
        <w:t>2226.77</w:t>
      </w:r>
      <w:r>
        <w:rPr>
          <w:rFonts w:hint="eastAsia" w:ascii="仿宋" w:hAnsi="仿宋" w:eastAsia="仿宋"/>
          <w:sz w:val="32"/>
          <w:szCs w:val="32"/>
        </w:rPr>
        <w:t>万元，占</w:t>
      </w:r>
      <w:r>
        <w:rPr>
          <w:rFonts w:hint="eastAsia" w:ascii="仿宋" w:hAnsi="仿宋" w:eastAsia="仿宋"/>
          <w:sz w:val="32"/>
          <w:szCs w:val="32"/>
          <w:u w:val="single"/>
          <w:lang w:val="en-US" w:eastAsia="zh-CN"/>
        </w:rPr>
        <w:t>99.68</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 xml:space="preserve"> %。</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黑体" w:hAnsi="黑体" w:eastAsia="黑体"/>
          <w:sz w:val="32"/>
          <w:szCs w:val="32"/>
        </w:rPr>
      </w:pPr>
      <w:r>
        <w:rPr>
          <w:rFonts w:hint="eastAsia" w:ascii="黑体" w:hAnsi="黑体" w:eastAsia="黑体"/>
          <w:sz w:val="32"/>
          <w:szCs w:val="32"/>
        </w:rPr>
        <w:t>三、部门（单位）支出总体情况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2024年</w:t>
      </w:r>
      <w:r>
        <w:rPr>
          <w:rFonts w:hint="eastAsia" w:ascii="仿宋" w:hAnsi="仿宋" w:eastAsia="仿宋"/>
          <w:sz w:val="32"/>
          <w:szCs w:val="32"/>
        </w:rPr>
        <w:t>支出预算总量</w:t>
      </w:r>
      <w:r>
        <w:rPr>
          <w:rFonts w:hint="eastAsia" w:ascii="仿宋" w:hAnsi="仿宋" w:eastAsia="仿宋"/>
          <w:sz w:val="32"/>
          <w:szCs w:val="32"/>
          <w:u w:val="single"/>
          <w:lang w:val="en-US" w:eastAsia="zh-CN"/>
        </w:rPr>
        <w:t>2233.84</w:t>
      </w:r>
      <w:r>
        <w:rPr>
          <w:rFonts w:hint="eastAsia" w:ascii="仿宋" w:hAnsi="仿宋" w:eastAsia="仿宋"/>
          <w:sz w:val="32"/>
          <w:szCs w:val="32"/>
        </w:rPr>
        <w:t>万元，同比减少</w:t>
      </w:r>
      <w:r>
        <w:rPr>
          <w:rFonts w:hint="eastAsia" w:ascii="仿宋" w:hAnsi="仿宋" w:eastAsia="仿宋"/>
          <w:sz w:val="32"/>
          <w:szCs w:val="32"/>
          <w:u w:val="single"/>
          <w:lang w:val="en-US" w:eastAsia="zh-CN"/>
        </w:rPr>
        <w:t>276.98</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val="en-US" w:eastAsia="zh-CN"/>
        </w:rPr>
        <w:t>2023年转付了公益性岗位及三支一扶社保补缴</w:t>
      </w:r>
      <w:r>
        <w:rPr>
          <w:rFonts w:hint="eastAsia" w:ascii="仿宋" w:hAnsi="仿宋" w:eastAsia="仿宋"/>
          <w:sz w:val="32"/>
          <w:szCs w:val="32"/>
        </w:rPr>
        <w:t>。其中：基本支出</w:t>
      </w:r>
      <w:r>
        <w:rPr>
          <w:rFonts w:hint="eastAsia" w:ascii="仿宋" w:hAnsi="仿宋" w:eastAsia="仿宋"/>
          <w:sz w:val="32"/>
          <w:szCs w:val="32"/>
          <w:u w:val="single"/>
          <w:lang w:val="en-US" w:eastAsia="zh-CN"/>
        </w:rPr>
        <w:t>1518.77</w:t>
      </w:r>
      <w:r>
        <w:rPr>
          <w:rFonts w:hint="eastAsia" w:ascii="仿宋" w:hAnsi="仿宋" w:eastAsia="仿宋"/>
          <w:sz w:val="32"/>
          <w:szCs w:val="32"/>
        </w:rPr>
        <w:t>万元，占</w:t>
      </w:r>
      <w:r>
        <w:rPr>
          <w:rFonts w:hint="eastAsia" w:ascii="仿宋" w:hAnsi="仿宋" w:eastAsia="仿宋"/>
          <w:sz w:val="32"/>
          <w:szCs w:val="32"/>
          <w:u w:val="single"/>
          <w:lang w:val="en-US" w:eastAsia="zh-CN"/>
        </w:rPr>
        <w:t>67.98</w:t>
      </w:r>
      <w:r>
        <w:rPr>
          <w:rFonts w:hint="eastAsia" w:ascii="仿宋" w:hAnsi="仿宋" w:eastAsia="仿宋"/>
          <w:sz w:val="32"/>
          <w:szCs w:val="32"/>
        </w:rPr>
        <w:t>%；项目支出</w:t>
      </w:r>
      <w:r>
        <w:rPr>
          <w:rFonts w:hint="eastAsia" w:ascii="仿宋" w:hAnsi="仿宋" w:eastAsia="仿宋"/>
          <w:sz w:val="32"/>
          <w:szCs w:val="32"/>
          <w:u w:val="single"/>
          <w:lang w:val="en-US" w:eastAsia="zh-CN"/>
        </w:rPr>
        <w:t>715.07</w:t>
      </w:r>
      <w:r>
        <w:rPr>
          <w:rFonts w:hint="eastAsia" w:ascii="仿宋" w:hAnsi="仿宋" w:eastAsia="仿宋"/>
          <w:sz w:val="32"/>
          <w:szCs w:val="32"/>
        </w:rPr>
        <w:t>万元，占</w:t>
      </w:r>
      <w:r>
        <w:rPr>
          <w:rFonts w:hint="eastAsia" w:ascii="仿宋" w:hAnsi="仿宋" w:eastAsia="仿宋"/>
          <w:sz w:val="32"/>
          <w:szCs w:val="32"/>
          <w:u w:val="single"/>
          <w:lang w:val="en-US" w:eastAsia="zh-CN"/>
        </w:rPr>
        <w:t>32</w:t>
      </w:r>
      <w:r>
        <w:rPr>
          <w:rFonts w:hint="eastAsia" w:ascii="仿宋" w:hAnsi="仿宋" w:eastAsia="仿宋"/>
          <w:sz w:val="32"/>
          <w:szCs w:val="32"/>
        </w:rPr>
        <w:t>%；事业单位经营支出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黑体" w:hAnsi="黑体" w:eastAsia="黑体"/>
          <w:sz w:val="32"/>
          <w:szCs w:val="32"/>
        </w:rPr>
      </w:pPr>
      <w:r>
        <w:rPr>
          <w:rFonts w:hint="eastAsia" w:ascii="黑体" w:hAnsi="黑体" w:eastAsia="黑体"/>
          <w:sz w:val="32"/>
          <w:szCs w:val="32"/>
        </w:rPr>
        <w:t>四、财政拨款收支总体情况</w:t>
      </w:r>
    </w:p>
    <w:p>
      <w:pPr>
        <w:keepNext w:val="0"/>
        <w:keepLines w:val="0"/>
        <w:pageBreakBefore w:val="0"/>
        <w:widowControl w:val="0"/>
        <w:kinsoku/>
        <w:wordWrap/>
        <w:overflowPunct/>
        <w:topLinePunct w:val="0"/>
        <w:bidi w:val="0"/>
        <w:snapToGrid/>
        <w:spacing w:line="578" w:lineRule="exact"/>
        <w:ind w:firstLine="640" w:firstLineChars="200"/>
        <w:jc w:val="left"/>
        <w:textAlignment w:val="auto"/>
        <w:rPr>
          <w:rFonts w:ascii="仿宋" w:hAnsi="仿宋" w:eastAsia="仿宋"/>
          <w:sz w:val="32"/>
          <w:szCs w:val="32"/>
        </w:rPr>
      </w:pPr>
      <w:r>
        <w:rPr>
          <w:rFonts w:hint="eastAsia" w:ascii="仿宋" w:hAnsi="仿宋" w:eastAsia="仿宋"/>
          <w:sz w:val="32"/>
          <w:szCs w:val="32"/>
          <w:lang w:val="en-US" w:eastAsia="zh-CN"/>
        </w:rPr>
        <w:t>2024年</w:t>
      </w: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2233.84</w:t>
      </w:r>
      <w:r>
        <w:rPr>
          <w:rFonts w:hint="eastAsia" w:ascii="仿宋" w:hAnsi="仿宋" w:eastAsia="仿宋"/>
          <w:sz w:val="32"/>
          <w:szCs w:val="32"/>
        </w:rPr>
        <w:t>万元，同比减少</w:t>
      </w:r>
      <w:r>
        <w:rPr>
          <w:rFonts w:hint="eastAsia" w:ascii="仿宋" w:hAnsi="仿宋" w:eastAsia="仿宋"/>
          <w:sz w:val="32"/>
          <w:szCs w:val="32"/>
          <w:u w:val="single"/>
          <w:lang w:val="en-US" w:eastAsia="zh-CN"/>
        </w:rPr>
        <w:t>276.98</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val="en-US" w:eastAsia="zh-CN"/>
        </w:rPr>
        <w:t>2023年转付了公益性岗位及三支一扶社保补缴</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2226.77</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lang w:val="en-US" w:eastAsia="zh-CN"/>
        </w:rPr>
        <w:t>0</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lang w:val="en-US" w:eastAsia="zh-CN"/>
        </w:rPr>
        <w:t>0</w:t>
      </w:r>
      <w:r>
        <w:rPr>
          <w:rFonts w:hint="eastAsia" w:ascii="仿宋" w:hAnsi="仿宋" w:eastAsia="仿宋"/>
          <w:sz w:val="32"/>
          <w:szCs w:val="32"/>
        </w:rPr>
        <w:t>万元、上年结转</w:t>
      </w:r>
      <w:r>
        <w:rPr>
          <w:rFonts w:hint="eastAsia" w:ascii="仿宋" w:hAnsi="仿宋" w:eastAsia="仿宋"/>
          <w:sz w:val="32"/>
          <w:szCs w:val="32"/>
          <w:u w:val="single"/>
          <w:lang w:val="en-US" w:eastAsia="zh-CN"/>
        </w:rPr>
        <w:t>7.07</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0</w:t>
      </w:r>
      <w:r>
        <w:rPr>
          <w:rFonts w:hint="eastAsia" w:ascii="仿宋" w:hAnsi="仿宋" w:eastAsia="仿宋"/>
          <w:sz w:val="32"/>
          <w:szCs w:val="32"/>
        </w:rPr>
        <w:t>万元、外交支出</w:t>
      </w:r>
      <w:r>
        <w:rPr>
          <w:rFonts w:hint="eastAsia" w:ascii="仿宋" w:hAnsi="仿宋" w:eastAsia="仿宋"/>
          <w:sz w:val="32"/>
          <w:szCs w:val="32"/>
          <w:u w:val="single"/>
          <w:lang w:val="en-US" w:eastAsia="zh-CN"/>
        </w:rPr>
        <w:t>0</w:t>
      </w:r>
      <w:r>
        <w:rPr>
          <w:rFonts w:hint="eastAsia" w:ascii="仿宋" w:hAnsi="仿宋" w:eastAsia="仿宋"/>
          <w:sz w:val="32"/>
          <w:szCs w:val="32"/>
        </w:rPr>
        <w:t>万元、教育支出</w:t>
      </w:r>
      <w:r>
        <w:rPr>
          <w:rFonts w:hint="eastAsia" w:ascii="仿宋" w:hAnsi="仿宋" w:eastAsia="仿宋"/>
          <w:sz w:val="32"/>
          <w:szCs w:val="32"/>
          <w:u w:val="single"/>
          <w:lang w:val="en-US" w:eastAsia="zh-CN"/>
        </w:rPr>
        <w:t>0</w:t>
      </w:r>
      <w:r>
        <w:rPr>
          <w:rFonts w:hint="eastAsia" w:ascii="仿宋" w:hAnsi="仿宋" w:eastAsia="仿宋"/>
          <w:sz w:val="32"/>
          <w:szCs w:val="32"/>
        </w:rPr>
        <w:t>万元、科学技术支出</w:t>
      </w:r>
      <w:r>
        <w:rPr>
          <w:rFonts w:hint="eastAsia" w:ascii="仿宋" w:hAnsi="仿宋" w:eastAsia="仿宋"/>
          <w:sz w:val="32"/>
          <w:szCs w:val="32"/>
          <w:u w:val="single"/>
          <w:lang w:val="en-US" w:eastAsia="zh-CN"/>
        </w:rPr>
        <w:t>0</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2194.48</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18.71</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20.65</w:t>
      </w:r>
      <w:r>
        <w:rPr>
          <w:rFonts w:hint="eastAsia" w:ascii="仿宋" w:hAnsi="仿宋" w:eastAsia="仿宋"/>
          <w:sz w:val="32"/>
          <w:szCs w:val="32"/>
        </w:rPr>
        <w:t>万元。</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黑体" w:hAnsi="黑体" w:eastAsia="黑体"/>
          <w:sz w:val="32"/>
          <w:szCs w:val="32"/>
        </w:rPr>
      </w:pP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黑体" w:hAnsi="黑体" w:eastAsia="黑体"/>
          <w:sz w:val="32"/>
          <w:szCs w:val="32"/>
        </w:rPr>
      </w:pPr>
      <w:r>
        <w:rPr>
          <w:rFonts w:hint="eastAsia" w:ascii="黑体" w:hAnsi="黑体" w:eastAsia="黑体"/>
          <w:sz w:val="32"/>
          <w:szCs w:val="32"/>
        </w:rPr>
        <w:t>五、一般公共预算支出总体情况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楷体" w:hAnsi="楷体" w:eastAsia="楷体"/>
          <w:sz w:val="32"/>
          <w:szCs w:val="32"/>
        </w:rPr>
      </w:pPr>
      <w:r>
        <w:rPr>
          <w:rFonts w:hint="eastAsia" w:ascii="楷体" w:hAnsi="楷体" w:eastAsia="楷体"/>
          <w:sz w:val="32"/>
          <w:szCs w:val="32"/>
        </w:rPr>
        <w:t>（一）一般公共预算当年拨款规模变化情况。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2024年</w:t>
      </w: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2226.77</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116.39</w:t>
      </w:r>
      <w:r>
        <w:rPr>
          <w:rFonts w:hint="eastAsia" w:ascii="仿宋" w:hAnsi="仿宋" w:eastAsia="仿宋"/>
          <w:sz w:val="32"/>
          <w:szCs w:val="32"/>
        </w:rPr>
        <w:t>万元，主要原因：</w:t>
      </w:r>
      <w:r>
        <w:rPr>
          <w:rFonts w:hint="eastAsia" w:ascii="仿宋" w:hAnsi="仿宋" w:eastAsia="仿宋"/>
          <w:sz w:val="32"/>
          <w:szCs w:val="32"/>
          <w:lang w:eastAsia="zh-CN"/>
        </w:rPr>
        <w:t>单位人员增加</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2024年</w:t>
      </w: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%；教育支出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%；科学技术支出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w:t>
      </w:r>
      <w:r>
        <w:rPr>
          <w:rFonts w:hint="eastAsia" w:ascii="仿宋" w:hAnsi="仿宋" w:eastAsia="仿宋"/>
          <w:sz w:val="32"/>
          <w:szCs w:val="32"/>
          <w:lang w:eastAsia="zh-CN"/>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黑体" w:hAnsi="黑体" w:eastAsia="黑体"/>
          <w:sz w:val="32"/>
          <w:szCs w:val="32"/>
        </w:rPr>
      </w:pPr>
      <w:r>
        <w:rPr>
          <w:rFonts w:hint="eastAsia" w:ascii="黑体" w:hAnsi="黑体" w:eastAsia="黑体"/>
          <w:sz w:val="32"/>
          <w:szCs w:val="32"/>
        </w:rPr>
        <w:t>六、一般公共预算基本支出总体情况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lang w:val="en-US" w:eastAsia="zh-CN"/>
        </w:rPr>
        <w:t>1518.77</w:t>
      </w:r>
      <w:r>
        <w:rPr>
          <w:rFonts w:hint="eastAsia" w:ascii="仿宋" w:hAnsi="仿宋" w:eastAsia="仿宋"/>
          <w:sz w:val="32"/>
          <w:szCs w:val="32"/>
        </w:rPr>
        <w:t>万元，其中：</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1496.46</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u w:val="single"/>
          <w:lang w:val="en-US" w:eastAsia="zh-CN"/>
        </w:rPr>
        <w:t>1495.46</w:t>
      </w:r>
      <w:r>
        <w:rPr>
          <w:rFonts w:hint="eastAsia" w:ascii="仿宋" w:hAnsi="仿宋" w:eastAsia="仿宋"/>
          <w:sz w:val="32"/>
          <w:szCs w:val="32"/>
          <w:u w:val="none"/>
          <w:lang w:val="en-US" w:eastAsia="zh-CN"/>
        </w:rPr>
        <w:t>万元</w:t>
      </w:r>
      <w:r>
        <w:rPr>
          <w:rFonts w:hint="eastAsia" w:ascii="仿宋" w:hAnsi="仿宋" w:eastAsia="仿宋"/>
          <w:sz w:val="32"/>
          <w:szCs w:val="32"/>
        </w:rPr>
        <w:t>（基本工资</w:t>
      </w:r>
      <w:r>
        <w:rPr>
          <w:rFonts w:hint="eastAsia" w:ascii="仿宋" w:hAnsi="仿宋" w:eastAsia="仿宋"/>
          <w:sz w:val="32"/>
          <w:szCs w:val="32"/>
          <w:u w:val="single"/>
          <w:lang w:val="en-US" w:eastAsia="zh-CN"/>
        </w:rPr>
        <w:t>28.91</w:t>
      </w:r>
      <w:r>
        <w:rPr>
          <w:rFonts w:hint="eastAsia" w:ascii="仿宋" w:hAnsi="仿宋" w:eastAsia="仿宋"/>
          <w:sz w:val="32"/>
          <w:szCs w:val="32"/>
          <w:u w:val="none"/>
          <w:lang w:val="en-US" w:eastAsia="zh-CN"/>
        </w:rPr>
        <w:t>万元</w:t>
      </w:r>
      <w:r>
        <w:rPr>
          <w:rFonts w:hint="eastAsia" w:ascii="仿宋" w:hAnsi="仿宋" w:eastAsia="仿宋"/>
          <w:sz w:val="32"/>
          <w:szCs w:val="32"/>
        </w:rPr>
        <w:t>、津贴补贴</w:t>
      </w:r>
      <w:r>
        <w:rPr>
          <w:rFonts w:hint="eastAsia" w:ascii="仿宋" w:hAnsi="仿宋" w:eastAsia="仿宋"/>
          <w:sz w:val="32"/>
          <w:szCs w:val="32"/>
          <w:u w:val="single"/>
          <w:lang w:val="en-US" w:eastAsia="zh-CN"/>
        </w:rPr>
        <w:t>130.32</w:t>
      </w:r>
      <w:r>
        <w:rPr>
          <w:rFonts w:hint="eastAsia" w:ascii="仿宋" w:hAnsi="仿宋" w:eastAsia="仿宋"/>
          <w:sz w:val="32"/>
          <w:szCs w:val="32"/>
          <w:u w:val="none"/>
          <w:lang w:val="en-US" w:eastAsia="zh-CN"/>
        </w:rPr>
        <w:t>万元</w:t>
      </w:r>
      <w:r>
        <w:rPr>
          <w:rFonts w:hint="eastAsia" w:ascii="仿宋" w:hAnsi="仿宋" w:eastAsia="仿宋"/>
          <w:sz w:val="32"/>
          <w:szCs w:val="32"/>
        </w:rPr>
        <w:t>、奖金</w:t>
      </w:r>
      <w:r>
        <w:rPr>
          <w:rFonts w:hint="eastAsia" w:ascii="仿宋" w:hAnsi="仿宋" w:eastAsia="仿宋"/>
          <w:sz w:val="32"/>
          <w:szCs w:val="32"/>
          <w:u w:val="single"/>
          <w:lang w:val="en-US" w:eastAsia="zh-CN"/>
        </w:rPr>
        <w:t>12.83</w:t>
      </w:r>
      <w:r>
        <w:rPr>
          <w:rFonts w:hint="eastAsia" w:ascii="仿宋" w:hAnsi="仿宋" w:eastAsia="仿宋"/>
          <w:sz w:val="32"/>
          <w:szCs w:val="32"/>
          <w:u w:val="none"/>
          <w:lang w:val="en-US" w:eastAsia="zh-CN"/>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u w:val="single"/>
          <w:lang w:val="en-US" w:eastAsia="zh-CN"/>
        </w:rPr>
        <w:t>27.53</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u w:val="single"/>
          <w:lang w:val="en-US" w:eastAsia="zh-CN"/>
        </w:rPr>
        <w:t>13.76</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u w:val="single"/>
          <w:lang w:val="en-US" w:eastAsia="zh-CN"/>
        </w:rPr>
        <w:t>3.44</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u w:val="single"/>
          <w:lang w:val="en-US" w:eastAsia="zh-CN"/>
        </w:rPr>
        <w:t>1.89</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u w:val="single"/>
          <w:lang w:val="en-US" w:eastAsia="zh-CN"/>
        </w:rPr>
        <w:t>1253.1</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u w:val="single"/>
          <w:lang w:val="en-US" w:eastAsia="zh-CN"/>
        </w:rPr>
        <w:t>20.65</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u w:val="single"/>
          <w:lang w:val="en-US" w:eastAsia="zh-CN"/>
        </w:rPr>
        <w:t>1.51</w:t>
      </w:r>
      <w:r>
        <w:rPr>
          <w:rFonts w:hint="eastAsia" w:ascii="仿宋" w:hAnsi="仿宋" w:eastAsia="仿宋"/>
          <w:sz w:val="32"/>
          <w:szCs w:val="32"/>
          <w:lang w:val="en-US" w:eastAsia="zh-CN"/>
        </w:rPr>
        <w:t>万元</w:t>
      </w:r>
      <w:r>
        <w:rPr>
          <w:rFonts w:hint="eastAsia" w:ascii="仿宋" w:hAnsi="仿宋" w:eastAsia="仿宋"/>
          <w:sz w:val="32"/>
          <w:szCs w:val="32"/>
        </w:rPr>
        <w:t>、</w:t>
      </w:r>
      <w:r>
        <w:rPr>
          <w:rFonts w:hint="eastAsia" w:ascii="仿宋" w:hAnsi="仿宋" w:eastAsia="仿宋"/>
          <w:sz w:val="32"/>
          <w:szCs w:val="32"/>
          <w:lang w:eastAsia="zh-CN"/>
        </w:rPr>
        <w:t>干部职工伙食补助</w:t>
      </w:r>
      <w:r>
        <w:rPr>
          <w:rFonts w:hint="eastAsia" w:ascii="仿宋" w:hAnsi="仿宋" w:eastAsia="仿宋"/>
          <w:sz w:val="32"/>
          <w:szCs w:val="32"/>
          <w:u w:val="single"/>
          <w:lang w:val="en-US" w:eastAsia="zh-CN"/>
        </w:rPr>
        <w:t>2.52</w:t>
      </w:r>
      <w:r>
        <w:rPr>
          <w:rFonts w:hint="eastAsia" w:ascii="仿宋" w:hAnsi="仿宋" w:eastAsia="仿宋"/>
          <w:sz w:val="32"/>
          <w:szCs w:val="32"/>
          <w:lang w:val="en-US" w:eastAsia="zh-CN"/>
        </w:rPr>
        <w:t>万元</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22.31</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u w:val="single"/>
          <w:lang w:val="en-US" w:eastAsia="zh-CN"/>
        </w:rPr>
        <w:t>22.31</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u w:val="single"/>
          <w:lang w:val="en-US" w:eastAsia="zh-CN"/>
        </w:rPr>
        <w:t>0.88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u w:val="single"/>
          <w:lang w:val="en-US" w:eastAsia="zh-CN"/>
        </w:rPr>
        <w:t>0.13</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u w:val="single"/>
          <w:lang w:val="en-US" w:eastAsia="zh-CN"/>
        </w:rPr>
        <w:t>6.75</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u w:val="single"/>
          <w:lang w:val="en-US" w:eastAsia="zh-CN"/>
        </w:rPr>
        <w:t>0.19</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u w:val="single"/>
          <w:lang w:val="en-US" w:eastAsia="zh-CN"/>
        </w:rPr>
        <w:t>1.5</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u w:val="single"/>
          <w:lang w:val="en-US" w:eastAsia="zh-CN"/>
        </w:rPr>
        <w:t>3.29</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u w:val="single"/>
          <w:lang w:val="en-US" w:eastAsia="zh-CN"/>
        </w:rPr>
        <w:t>0.32</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u w:val="single"/>
          <w:lang w:val="en-US" w:eastAsia="zh-CN"/>
        </w:rPr>
        <w:t>0.64</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u w:val="single"/>
          <w:lang w:val="en-US" w:eastAsia="zh-CN"/>
        </w:rPr>
        <w:t>0.28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u w:val="single"/>
          <w:lang w:val="en-US" w:eastAsia="zh-CN"/>
        </w:rPr>
        <w:t>4.55</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u w:val="single"/>
          <w:lang w:val="en-US" w:eastAsia="zh-CN"/>
        </w:rPr>
        <w:t>0.67</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u w:val="single"/>
          <w:lang w:val="en-US" w:eastAsia="zh-CN"/>
        </w:rPr>
        <w:t>3.13</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黑体" w:hAnsi="黑体" w:eastAsia="黑体"/>
          <w:sz w:val="32"/>
          <w:szCs w:val="32"/>
        </w:rPr>
      </w:pPr>
      <w:r>
        <w:rPr>
          <w:rFonts w:hint="eastAsia" w:ascii="黑体" w:hAnsi="黑体" w:eastAsia="黑体"/>
          <w:sz w:val="32"/>
          <w:szCs w:val="32"/>
        </w:rPr>
        <w:t>七、一般公共预算“三公”经费预算总体情况</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 w:hAnsi="仿宋" w:eastAsia="仿宋"/>
          <w:sz w:val="32"/>
          <w:szCs w:val="32"/>
        </w:rPr>
      </w:pPr>
      <w:r>
        <w:rPr>
          <w:rFonts w:hint="eastAsia" w:ascii="仿宋" w:hAnsi="仿宋" w:eastAsia="仿宋"/>
          <w:sz w:val="32"/>
          <w:szCs w:val="32"/>
        </w:rPr>
        <w:t>例如：2024年“三公</w:t>
      </w:r>
      <w:bookmarkStart w:id="0" w:name="_GoBack"/>
      <w:bookmarkEnd w:id="0"/>
      <w:r>
        <w:rPr>
          <w:rFonts w:hint="eastAsia" w:ascii="仿宋" w:hAnsi="仿宋" w:eastAsia="仿宋"/>
          <w:sz w:val="32"/>
          <w:szCs w:val="32"/>
        </w:rPr>
        <w:t>”经费预算数为</w:t>
      </w:r>
      <w:r>
        <w:rPr>
          <w:rFonts w:hint="eastAsia" w:ascii="仿宋" w:hAnsi="仿宋" w:eastAsia="仿宋"/>
          <w:sz w:val="32"/>
          <w:szCs w:val="32"/>
          <w:u w:val="single"/>
          <w:lang w:val="en-US" w:eastAsia="zh-CN"/>
        </w:rPr>
        <w:t>0</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4.55</w:t>
      </w:r>
      <w:r>
        <w:rPr>
          <w:rFonts w:hint="eastAsia" w:ascii="仿宋" w:hAnsi="仿宋" w:eastAsia="仿宋"/>
          <w:sz w:val="32"/>
          <w:szCs w:val="32"/>
          <w:u w:val="single"/>
        </w:rPr>
        <w:t>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lang w:val="en-US" w:eastAsia="zh-CN"/>
        </w:rPr>
        <w:t>0</w:t>
      </w:r>
      <w:r>
        <w:rPr>
          <w:rFonts w:hint="eastAsia" w:ascii="仿宋" w:hAnsi="仿宋" w:eastAsia="仿宋"/>
          <w:sz w:val="32"/>
          <w:szCs w:val="32"/>
        </w:rPr>
        <w:t>万元，公务接待费</w:t>
      </w:r>
      <w:r>
        <w:rPr>
          <w:rFonts w:hint="eastAsia" w:ascii="仿宋" w:hAnsi="仿宋" w:eastAsia="仿宋"/>
          <w:sz w:val="32"/>
          <w:szCs w:val="32"/>
          <w:u w:val="single"/>
          <w:lang w:val="en-US" w:eastAsia="zh-CN"/>
        </w:rPr>
        <w:t>0.28</w:t>
      </w:r>
      <w:r>
        <w:rPr>
          <w:rFonts w:hint="eastAsia" w:ascii="仿宋" w:hAnsi="仿宋" w:eastAsia="仿宋"/>
          <w:sz w:val="32"/>
          <w:szCs w:val="32"/>
        </w:rPr>
        <w:t>万元。“三公”经费预算比2023年增加</w:t>
      </w:r>
      <w:r>
        <w:rPr>
          <w:rFonts w:hint="eastAsia" w:ascii="仿宋" w:hAnsi="仿宋" w:eastAsia="仿宋"/>
          <w:sz w:val="32"/>
          <w:szCs w:val="32"/>
          <w:u w:val="single"/>
          <w:lang w:val="en-US" w:eastAsia="zh-CN"/>
        </w:rPr>
        <w:t>4.83</w:t>
      </w:r>
      <w:r>
        <w:rPr>
          <w:rFonts w:hint="eastAsia" w:ascii="仿宋" w:hAnsi="仿宋" w:eastAsia="仿宋"/>
          <w:sz w:val="32"/>
          <w:szCs w:val="32"/>
        </w:rPr>
        <w:t>万元，（增长）</w:t>
      </w:r>
      <w:r>
        <w:rPr>
          <w:rFonts w:hint="eastAsia" w:ascii="仿宋" w:hAnsi="仿宋" w:eastAsia="仿宋"/>
          <w:sz w:val="32"/>
          <w:szCs w:val="32"/>
          <w:u w:val="single"/>
          <w:lang w:val="en-US" w:eastAsia="zh-CN"/>
        </w:rPr>
        <w:t>0</w:t>
      </w:r>
      <w:r>
        <w:rPr>
          <w:rFonts w:hint="eastAsia" w:ascii="仿宋" w:hAnsi="仿宋" w:eastAsia="仿宋"/>
          <w:sz w:val="32"/>
          <w:szCs w:val="32"/>
        </w:rPr>
        <w:t>%，主要原因是</w:t>
      </w:r>
      <w:r>
        <w:rPr>
          <w:rFonts w:hint="eastAsia" w:ascii="仿宋" w:hAnsi="仿宋" w:eastAsia="仿宋"/>
          <w:sz w:val="32"/>
          <w:szCs w:val="32"/>
          <w:u w:val="none"/>
          <w:lang w:val="en-US" w:eastAsia="zh-CN"/>
        </w:rPr>
        <w:t>2023年无公务用车购置费，2024年根据县财政要求已下拨给各单位预算内</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lang w:val="en-US" w:eastAsia="zh-CN"/>
        </w:rPr>
        <w:t>0</w:t>
      </w:r>
      <w:r>
        <w:rPr>
          <w:rFonts w:hint="eastAsia" w:ascii="仿宋" w:hAnsi="仿宋" w:eastAsia="仿宋"/>
          <w:sz w:val="32"/>
          <w:szCs w:val="32"/>
        </w:rPr>
        <w:t>个团组、</w:t>
      </w:r>
      <w:r>
        <w:rPr>
          <w:rFonts w:hint="eastAsia" w:ascii="仿宋" w:hAnsi="仿宋" w:eastAsia="仿宋"/>
          <w:sz w:val="32"/>
          <w:szCs w:val="32"/>
          <w:u w:val="single"/>
          <w:lang w:val="en-US" w:eastAsia="zh-CN"/>
        </w:rPr>
        <w:t>0</w:t>
      </w:r>
      <w:r>
        <w:rPr>
          <w:rFonts w:hint="eastAsia" w:ascii="仿宋" w:hAnsi="仿宋" w:eastAsia="仿宋"/>
          <w:sz w:val="32"/>
          <w:szCs w:val="32"/>
        </w:rPr>
        <w:t>人，公务用车购置</w:t>
      </w:r>
      <w:r>
        <w:rPr>
          <w:rFonts w:hint="eastAsia" w:ascii="仿宋" w:hAnsi="仿宋" w:eastAsia="仿宋"/>
          <w:sz w:val="32"/>
          <w:szCs w:val="32"/>
          <w:u w:val="single"/>
          <w:lang w:val="en-US" w:eastAsia="zh-CN"/>
        </w:rPr>
        <w:t>0</w:t>
      </w:r>
      <w:r>
        <w:rPr>
          <w:rFonts w:hint="eastAsia" w:ascii="仿宋" w:hAnsi="仿宋" w:eastAsia="仿宋"/>
          <w:sz w:val="32"/>
          <w:szCs w:val="32"/>
        </w:rPr>
        <w:t>辆、保有</w:t>
      </w:r>
      <w:r>
        <w:rPr>
          <w:rFonts w:hint="eastAsia" w:ascii="仿宋" w:hAnsi="仿宋" w:eastAsia="仿宋"/>
          <w:sz w:val="32"/>
          <w:szCs w:val="32"/>
          <w:u w:val="single"/>
          <w:lang w:val="en-US" w:eastAsia="zh-CN"/>
        </w:rPr>
        <w:t>0</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批次、</w:t>
      </w:r>
      <w:r>
        <w:rPr>
          <w:rFonts w:hint="eastAsia" w:ascii="仿宋" w:hAnsi="仿宋" w:eastAsia="仿宋"/>
          <w:sz w:val="32"/>
          <w:szCs w:val="32"/>
          <w:u w:val="single"/>
          <w:lang w:val="en-US" w:eastAsia="zh-CN"/>
        </w:rPr>
        <w:t>0</w:t>
      </w:r>
      <w:r>
        <w:rPr>
          <w:rFonts w:hint="eastAsia" w:ascii="仿宋" w:hAnsi="仿宋" w:eastAsia="仿宋"/>
          <w:sz w:val="32"/>
          <w:szCs w:val="32"/>
        </w:rPr>
        <w:t>人。</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黑体" w:hAnsi="黑体" w:eastAsia="黑体"/>
          <w:sz w:val="32"/>
          <w:szCs w:val="32"/>
        </w:rPr>
      </w:pPr>
      <w:r>
        <w:rPr>
          <w:rFonts w:hint="eastAsia" w:ascii="黑体" w:hAnsi="黑体" w:eastAsia="黑体"/>
          <w:sz w:val="32"/>
          <w:szCs w:val="32"/>
        </w:rPr>
        <w:t>八、政府性基金预算支出总体情况</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万元,比2023年执行数减少</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万元，主要原因：</w:t>
      </w:r>
      <w:r>
        <w:rPr>
          <w:rFonts w:hint="eastAsia" w:ascii="仿宋_GB2312" w:eastAsia="仿宋_GB2312" w:cs="仿宋_GB2312" w:hAnsiTheme="minorHAnsi"/>
          <w:kern w:val="0"/>
          <w:sz w:val="32"/>
          <w:szCs w:val="32"/>
          <w:u w:val="single"/>
          <w:lang w:val="en-US" w:eastAsia="zh-CN"/>
        </w:rPr>
        <w:t>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 w:hAnsi="仿宋" w:eastAsia="仿宋"/>
          <w:sz w:val="32"/>
          <w:szCs w:val="32"/>
        </w:rPr>
      </w:pPr>
      <w:r>
        <w:rPr>
          <w:rFonts w:hint="eastAsia" w:ascii="仿宋" w:hAnsi="仿宋" w:eastAsia="仿宋"/>
          <w:sz w:val="32"/>
          <w:szCs w:val="32"/>
        </w:rPr>
        <w:t>（没有数据的表格应当列出空表并说明“我部门（单位）2024年度没有政府性基金安排的支出</w:t>
      </w:r>
      <w:r>
        <w:rPr>
          <w:rFonts w:ascii="仿宋" w:hAnsi="仿宋" w:eastAsia="仿宋"/>
          <w:sz w:val="32"/>
          <w:szCs w:val="32"/>
        </w:rPr>
        <w:t>”</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例如：“三公”经费预算数为</w:t>
      </w:r>
      <w:r>
        <w:rPr>
          <w:rFonts w:hint="eastAsia" w:ascii="仿宋" w:hAnsi="仿宋" w:eastAsia="仿宋"/>
          <w:sz w:val="32"/>
          <w:szCs w:val="32"/>
          <w:u w:val="single"/>
          <w:lang w:val="en-US" w:eastAsia="zh-CN"/>
        </w:rPr>
        <w:t>0</w:t>
      </w:r>
      <w:r>
        <w:rPr>
          <w:rFonts w:hint="eastAsia" w:ascii="仿宋" w:hAnsi="仿宋" w:eastAsia="仿宋"/>
          <w:sz w:val="32"/>
          <w:szCs w:val="32"/>
        </w:rPr>
        <w:t>万元，其中：因公出国（境）费</w:t>
      </w:r>
      <w:r>
        <w:rPr>
          <w:rFonts w:hint="eastAsia" w:ascii="仿宋" w:hAnsi="仿宋" w:eastAsia="仿宋"/>
          <w:sz w:val="32"/>
          <w:szCs w:val="32"/>
          <w:u w:val="single"/>
          <w:lang w:val="en-US" w:eastAsia="zh-CN"/>
        </w:rPr>
        <w:t>0</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万元，公务接待费</w:t>
      </w:r>
      <w:r>
        <w:rPr>
          <w:rFonts w:hint="eastAsia" w:ascii="仿宋" w:hAnsi="仿宋" w:eastAsia="仿宋"/>
          <w:sz w:val="32"/>
          <w:szCs w:val="32"/>
          <w:u w:val="single"/>
          <w:lang w:val="en-US" w:eastAsia="zh-CN"/>
        </w:rPr>
        <w:t>0</w:t>
      </w:r>
      <w:r>
        <w:rPr>
          <w:rFonts w:hint="eastAsia" w:ascii="仿宋" w:hAnsi="仿宋" w:eastAsia="仿宋"/>
          <w:sz w:val="32"/>
          <w:szCs w:val="32"/>
        </w:rPr>
        <w:t>万元。“三公”经费预算比2023年减少（增加）</w:t>
      </w:r>
      <w:r>
        <w:rPr>
          <w:rFonts w:hint="eastAsia" w:ascii="仿宋" w:hAnsi="仿宋" w:eastAsia="仿宋"/>
          <w:sz w:val="32"/>
          <w:szCs w:val="32"/>
          <w:u w:val="single"/>
          <w:lang w:val="en-US" w:eastAsia="zh-CN"/>
        </w:rPr>
        <w:t>0</w:t>
      </w:r>
      <w:r>
        <w:rPr>
          <w:rFonts w:hint="eastAsia" w:ascii="仿宋" w:hAnsi="仿宋" w:eastAsia="仿宋"/>
          <w:sz w:val="32"/>
          <w:szCs w:val="32"/>
        </w:rPr>
        <w:t>万元，压缩（增长）</w:t>
      </w:r>
      <w:r>
        <w:rPr>
          <w:rFonts w:hint="eastAsia" w:ascii="仿宋" w:hAnsi="仿宋" w:eastAsia="仿宋"/>
          <w:sz w:val="32"/>
          <w:szCs w:val="32"/>
          <w:u w:val="single"/>
          <w:lang w:val="en-US" w:eastAsia="zh-CN"/>
        </w:rPr>
        <w:t>0</w:t>
      </w:r>
      <w:r>
        <w:rPr>
          <w:rFonts w:hint="eastAsia" w:ascii="仿宋" w:hAnsi="仿宋" w:eastAsia="仿宋"/>
          <w:sz w:val="32"/>
          <w:szCs w:val="32"/>
        </w:rPr>
        <w:t>%，主要原因是</w:t>
      </w:r>
      <w:r>
        <w:rPr>
          <w:rFonts w:hint="eastAsia" w:ascii="仿宋" w:hAnsi="仿宋" w:eastAsia="仿宋"/>
          <w:sz w:val="32"/>
          <w:szCs w:val="32"/>
          <w:lang w:eastAsia="zh-CN"/>
        </w:rPr>
        <w:t>无</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lang w:val="en-US" w:eastAsia="zh-CN"/>
        </w:rPr>
        <w:t>0</w:t>
      </w:r>
      <w:r>
        <w:rPr>
          <w:rFonts w:hint="eastAsia" w:ascii="仿宋" w:hAnsi="仿宋" w:eastAsia="仿宋"/>
          <w:sz w:val="32"/>
          <w:szCs w:val="32"/>
        </w:rPr>
        <w:t>人，公务用车购置</w:t>
      </w:r>
      <w:r>
        <w:rPr>
          <w:rFonts w:hint="eastAsia" w:ascii="仿宋" w:hAnsi="仿宋" w:eastAsia="仿宋"/>
          <w:sz w:val="32"/>
          <w:szCs w:val="32"/>
          <w:u w:val="single"/>
          <w:lang w:val="en-US" w:eastAsia="zh-CN"/>
        </w:rPr>
        <w:t>0</w:t>
      </w:r>
      <w:r>
        <w:rPr>
          <w:rFonts w:hint="eastAsia" w:ascii="仿宋" w:hAnsi="仿宋" w:eastAsia="仿宋"/>
          <w:sz w:val="32"/>
          <w:szCs w:val="32"/>
        </w:rPr>
        <w:t>辆、保有</w:t>
      </w:r>
      <w:r>
        <w:rPr>
          <w:rFonts w:hint="eastAsia" w:ascii="仿宋" w:hAnsi="仿宋" w:eastAsia="仿宋"/>
          <w:sz w:val="32"/>
          <w:szCs w:val="32"/>
          <w:u w:val="single"/>
          <w:lang w:val="en-US" w:eastAsia="zh-CN"/>
        </w:rPr>
        <w:t>0</w:t>
      </w:r>
      <w:r>
        <w:rPr>
          <w:rFonts w:hint="eastAsia" w:ascii="仿宋" w:hAnsi="仿宋" w:eastAsia="仿宋"/>
          <w:sz w:val="32"/>
          <w:szCs w:val="32"/>
        </w:rPr>
        <w:t>量，国内公务接待</w:t>
      </w:r>
      <w:r>
        <w:rPr>
          <w:rFonts w:hint="eastAsia" w:ascii="仿宋" w:hAnsi="仿宋" w:eastAsia="仿宋"/>
          <w:sz w:val="32"/>
          <w:szCs w:val="32"/>
          <w:u w:val="single"/>
          <w:lang w:val="en-US" w:eastAsia="zh-CN"/>
        </w:rPr>
        <w:t>0</w:t>
      </w:r>
      <w:r>
        <w:rPr>
          <w:rFonts w:hint="eastAsia" w:ascii="仿宋" w:hAnsi="仿宋" w:eastAsia="仿宋"/>
          <w:sz w:val="32"/>
          <w:szCs w:val="32"/>
        </w:rPr>
        <w:t>批次、</w:t>
      </w:r>
      <w:r>
        <w:rPr>
          <w:rFonts w:hint="eastAsia" w:ascii="仿宋" w:hAnsi="仿宋" w:eastAsia="仿宋"/>
          <w:sz w:val="32"/>
          <w:szCs w:val="32"/>
          <w:u w:val="single"/>
          <w:lang w:val="en-US" w:eastAsia="zh-CN"/>
        </w:rPr>
        <w:t>0</w:t>
      </w:r>
      <w:r>
        <w:rPr>
          <w:rFonts w:hint="eastAsia" w:ascii="仿宋" w:hAnsi="仿宋" w:eastAsia="仿宋"/>
          <w:sz w:val="32"/>
          <w:szCs w:val="32"/>
        </w:rPr>
        <w:t>人。</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keepNext w:val="0"/>
        <w:keepLines w:val="0"/>
        <w:pageBreakBefore w:val="0"/>
        <w:widowControl w:val="0"/>
        <w:kinsoku/>
        <w:wordWrap/>
        <w:overflowPunct/>
        <w:topLinePunct w:val="0"/>
        <w:bidi w:val="0"/>
        <w:snapToGrid/>
        <w:spacing w:line="578" w:lineRule="exact"/>
        <w:ind w:firstLine="480" w:firstLineChars="150"/>
        <w:textAlignment w:val="auto"/>
        <w:rPr>
          <w:rFonts w:ascii="楷体" w:hAnsi="楷体" w:eastAsia="楷体"/>
          <w:sz w:val="32"/>
          <w:szCs w:val="32"/>
        </w:rPr>
      </w:pPr>
      <w:r>
        <w:rPr>
          <w:rFonts w:hint="eastAsia" w:ascii="楷体" w:hAnsi="楷体" w:eastAsia="楷体"/>
          <w:sz w:val="32"/>
          <w:szCs w:val="32"/>
        </w:rPr>
        <w:t>（一）机关运行经费安排使用情况说明。</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2024年</w:t>
      </w: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2226.77</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116.39</w:t>
      </w:r>
      <w:r>
        <w:rPr>
          <w:rFonts w:hint="eastAsia" w:ascii="仿宋" w:hAnsi="仿宋" w:eastAsia="仿宋"/>
          <w:sz w:val="32"/>
          <w:szCs w:val="32"/>
        </w:rPr>
        <w:t>万元，主要原因：</w:t>
      </w:r>
      <w:r>
        <w:rPr>
          <w:rFonts w:hint="eastAsia" w:ascii="仿宋" w:hAnsi="仿宋" w:eastAsia="仿宋"/>
          <w:sz w:val="32"/>
          <w:szCs w:val="32"/>
          <w:lang w:eastAsia="zh-CN"/>
        </w:rPr>
        <w:t>单位人员增加</w:t>
      </w:r>
      <w:r>
        <w:rPr>
          <w:rFonts w:ascii="仿宋_GB2312" w:eastAsia="仿宋_GB2312" w:cs="仿宋_GB2312" w:hAnsiTheme="minorHAnsi"/>
          <w:kern w:val="0"/>
          <w:sz w:val="32"/>
          <w:szCs w:val="32"/>
        </w:rPr>
        <w:t xml:space="preserve"> </w:t>
      </w:r>
      <w:r>
        <w:rPr>
          <w:rFonts w:hint="eastAsia" w:ascii="仿宋_GB2312" w:eastAsia="仿宋_GB2312" w:cs="仿宋_GB2312" w:hAnsiTheme="minorHAnsi"/>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textAlignment w:val="auto"/>
        <w:rPr>
          <w:rFonts w:ascii="楷体" w:hAnsi="楷体" w:eastAsia="楷体"/>
          <w:sz w:val="32"/>
          <w:szCs w:val="32"/>
        </w:rPr>
      </w:pPr>
      <w:r>
        <w:rPr>
          <w:rFonts w:hint="eastAsia" w:ascii="楷体" w:hAnsi="楷体" w:eastAsia="楷体"/>
          <w:sz w:val="32"/>
          <w:szCs w:val="32"/>
        </w:rPr>
        <w:t>（二）政府采购情况说明。</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left"/>
        <w:textAlignment w:val="auto"/>
        <w:rPr>
          <w:rFonts w:ascii="仿宋_GB2312" w:eastAsia="仿宋_GB2312" w:cs="仿宋_GB2312" w:hAnsiTheme="minorHAnsi"/>
          <w:kern w:val="0"/>
          <w:sz w:val="32"/>
          <w:szCs w:val="32"/>
        </w:rPr>
      </w:pPr>
      <w:r>
        <w:rPr>
          <w:rFonts w:hint="eastAsia" w:ascii="仿宋" w:hAnsi="仿宋" w:eastAsia="仿宋"/>
          <w:sz w:val="32"/>
          <w:szCs w:val="32"/>
        </w:rPr>
        <w:t>例如</w:t>
      </w: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楷体" w:hAnsi="楷体" w:eastAsia="楷体"/>
          <w:sz w:val="32"/>
          <w:szCs w:val="32"/>
        </w:rPr>
      </w:pPr>
      <w:r>
        <w:rPr>
          <w:rFonts w:hint="eastAsia" w:ascii="楷体" w:hAnsi="楷体" w:eastAsia="楷体"/>
          <w:sz w:val="32"/>
          <w:szCs w:val="32"/>
        </w:rPr>
        <w:t>（三）国有资产占有使用情况说明。</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辆、应急保障用车</w:t>
      </w:r>
      <w:r>
        <w:rPr>
          <w:rFonts w:hint="eastAsia" w:ascii="仿宋" w:hAnsi="仿宋" w:eastAsia="仿宋"/>
          <w:sz w:val="32"/>
          <w:szCs w:val="32"/>
          <w:u w:val="single"/>
          <w:lang w:val="en-US" w:eastAsia="zh-CN"/>
        </w:rPr>
        <w:t>0</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辆车进行更新购。</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b/>
          <w:sz w:val="32"/>
          <w:szCs w:val="32"/>
        </w:rPr>
      </w:pPr>
      <w:r>
        <w:rPr>
          <w:rFonts w:hint="eastAsia" w:ascii="楷体" w:hAnsi="楷体" w:eastAsia="楷体"/>
          <w:sz w:val="32"/>
          <w:szCs w:val="32"/>
        </w:rPr>
        <w:t>（四）2024年预算绩效情况说明。</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例如：2024年实现财政支出绩效目标管理全覆盖，实行绩效目标管理</w:t>
      </w:r>
      <w:r>
        <w:rPr>
          <w:rFonts w:hint="eastAsia" w:ascii="仿宋_GB2312" w:eastAsia="仿宋_GB2312" w:cs="仿宋_GB2312" w:hAnsiTheme="minorHAnsi"/>
          <w:kern w:val="0"/>
          <w:sz w:val="32"/>
          <w:szCs w:val="32"/>
          <w:u w:val="single"/>
          <w:lang w:val="en-US" w:eastAsia="zh-CN"/>
        </w:rPr>
        <w:t>6</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715.07</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lang w:val="en-US" w:eastAsia="zh-CN"/>
        </w:rPr>
        <w:t>300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415.07</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lang w:val="en-US" w:eastAsia="zh-CN"/>
        </w:rPr>
        <w:t>6</w:t>
      </w:r>
      <w:r>
        <w:rPr>
          <w:rFonts w:hint="eastAsia" w:ascii="仿宋" w:hAnsi="仿宋" w:eastAsia="仿宋"/>
          <w:sz w:val="32"/>
          <w:szCs w:val="32"/>
        </w:rPr>
        <w:t>个，分别是</w:t>
      </w:r>
      <w:r>
        <w:rPr>
          <w:rFonts w:hint="eastAsia" w:ascii="仿宋" w:hAnsi="仿宋" w:eastAsia="仿宋"/>
          <w:sz w:val="32"/>
          <w:szCs w:val="32"/>
          <w:lang w:eastAsia="zh-CN"/>
        </w:rPr>
        <w:t>劳动监察经费</w:t>
      </w:r>
      <w:r>
        <w:rPr>
          <w:rFonts w:hint="eastAsia" w:ascii="仿宋" w:hAnsi="仿宋" w:eastAsia="仿宋"/>
          <w:sz w:val="32"/>
          <w:szCs w:val="32"/>
          <w:lang w:val="en-US" w:eastAsia="zh-CN"/>
        </w:rPr>
        <w:t>1万元、平台专干经费24万元、城乡居民养老保险县级财配90万元、就业补助资金300万元、市场就业补助资金200万元、农牧民技能培训资金为93万元</w:t>
      </w:r>
      <w:r>
        <w:rPr>
          <w:rFonts w:hint="eastAsia" w:ascii="仿宋" w:hAnsi="仿宋" w:eastAsia="仿宋"/>
          <w:sz w:val="32"/>
          <w:szCs w:val="32"/>
        </w:rPr>
        <w:t>，占年初项目支出预算总额的</w:t>
      </w:r>
      <w:r>
        <w:rPr>
          <w:rFonts w:hint="eastAsia" w:ascii="仿宋" w:hAnsi="仿宋" w:eastAsia="仿宋"/>
          <w:sz w:val="32"/>
          <w:szCs w:val="32"/>
          <w:u w:val="single"/>
          <w:lang w:val="en-US" w:eastAsia="zh-CN"/>
        </w:rPr>
        <w:t>99</w:t>
      </w:r>
      <w:r>
        <w:rPr>
          <w:rFonts w:hint="eastAsia" w:ascii="仿宋" w:hAnsi="仿宋" w:eastAsia="仿宋"/>
          <w:sz w:val="32"/>
          <w:szCs w:val="32"/>
        </w:rPr>
        <w:t>%。</w:t>
      </w:r>
    </w:p>
    <w:p>
      <w:pPr>
        <w:keepNext w:val="0"/>
        <w:keepLines w:val="0"/>
        <w:pageBreakBefore w:val="0"/>
        <w:widowControl w:val="0"/>
        <w:numPr>
          <w:ilvl w:val="0"/>
          <w:numId w:val="1"/>
        </w:numPr>
        <w:kinsoku/>
        <w:wordWrap/>
        <w:overflowPunct/>
        <w:topLinePunct w:val="0"/>
        <w:bidi w:val="0"/>
        <w:snapToGrid/>
        <w:spacing w:line="578" w:lineRule="exact"/>
        <w:textAlignment w:val="auto"/>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keepNext w:val="0"/>
        <w:keepLines w:val="0"/>
        <w:pageBreakBefore w:val="0"/>
        <w:widowControl w:val="0"/>
        <w:numPr>
          <w:ilvl w:val="0"/>
          <w:numId w:val="0"/>
        </w:numPr>
        <w:kinsoku/>
        <w:wordWrap/>
        <w:overflowPunct/>
        <w:topLinePunct w:val="0"/>
        <w:bidi w:val="0"/>
        <w:snapToGrid/>
        <w:spacing w:line="578" w:lineRule="exact"/>
        <w:ind w:firstLine="640" w:firstLineChars="200"/>
        <w:textAlignment w:val="auto"/>
        <w:rPr>
          <w:rFonts w:hint="eastAsia" w:ascii="楷体" w:hAnsi="楷体" w:eastAsia="楷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就业补助资金</w:t>
      </w:r>
      <w:r>
        <w:rPr>
          <w:rFonts w:hint="eastAsia" w:ascii="仿宋_GB2312" w:hAnsi="宋体" w:eastAsia="仿宋_GB2312" w:cs="宋体"/>
          <w:color w:val="000000" w:themeColor="text1"/>
          <w:sz w:val="32"/>
          <w:szCs w:val="32"/>
          <w14:textFill>
            <w14:solidFill>
              <w14:schemeClr w14:val="tx1"/>
            </w14:solidFill>
          </w14:textFill>
        </w:rPr>
        <w:t>管理使用</w:t>
      </w:r>
      <w:r>
        <w:rPr>
          <w:rFonts w:ascii="仿宋_GB2312" w:hAnsi="宋体" w:eastAsia="仿宋_GB2312" w:cs="宋体"/>
          <w:color w:val="000000" w:themeColor="text1"/>
          <w:sz w:val="32"/>
          <w:szCs w:val="32"/>
          <w14:textFill>
            <w14:solidFill>
              <w14:schemeClr w14:val="tx1"/>
            </w14:solidFill>
          </w14:textFill>
        </w:rPr>
        <w:t>情况说明</w:t>
      </w:r>
      <w:r>
        <w:rPr>
          <w:rFonts w:hint="eastAsia" w:ascii="仿宋_GB2312" w:hAnsi="宋体" w:eastAsia="仿宋_GB2312" w:cs="宋体"/>
          <w:color w:val="000000" w:themeColor="text1"/>
          <w:sz w:val="32"/>
          <w:szCs w:val="32"/>
          <w:lang w:eastAsia="zh-CN"/>
          <w14:textFill>
            <w14:solidFill>
              <w14:schemeClr w14:val="tx1"/>
            </w14:solidFill>
          </w14:textFill>
        </w:rPr>
        <w:t>，</w:t>
      </w:r>
      <w:r>
        <w:rPr>
          <w:rFonts w:hint="eastAsia" w:ascii="仿宋_GB2312" w:hAnsi="宋体" w:eastAsia="仿宋_GB2312" w:cs="宋体"/>
          <w:color w:val="000000" w:themeColor="text1"/>
          <w:sz w:val="32"/>
          <w:szCs w:val="32"/>
          <w:lang w:val="en-US" w:eastAsia="zh-CN"/>
          <w14:textFill>
            <w14:solidFill>
              <w14:schemeClr w14:val="tx1"/>
            </w14:solidFill>
          </w14:textFill>
        </w:rPr>
        <w:t>2024年班戈县人社局就业补助资金500万元使用说明按照上级有关部门文件要求，我局以绩效目标要求兑现给高校毕业生一次性创业启动资金，按照就业资金管理办法使用要求兑现以及所需材料（补助资金申请拨款表、营业执照、毕业证书、就业推荐函、就业创业证书、本人身份证复印件、本人卡号（公司需提供开户许可证）、西藏自治区高校毕业生创业启动资金及相关补贴申请表、西藏自治区高校毕业生享受创业启动资金支持政策协议)。</w:t>
      </w:r>
    </w:p>
    <w:p>
      <w:pPr>
        <w:keepNext w:val="0"/>
        <w:keepLines w:val="0"/>
        <w:pageBreakBefore w:val="0"/>
        <w:widowControl w:val="0"/>
        <w:kinsoku/>
        <w:wordWrap/>
        <w:overflowPunct/>
        <w:topLinePunct w:val="0"/>
        <w:bidi w:val="0"/>
        <w:snapToGrid/>
        <w:spacing w:line="578" w:lineRule="exact"/>
        <w:textAlignment w:val="auto"/>
        <w:rPr>
          <w:rFonts w:hint="default" w:ascii="仿宋" w:hAnsi="仿宋" w:eastAsia="楷体"/>
          <w:sz w:val="32"/>
          <w:szCs w:val="32"/>
          <w:lang w:val="en-US" w:eastAsia="zh-CN"/>
        </w:rPr>
      </w:pPr>
      <w:r>
        <w:rPr>
          <w:rFonts w:hint="eastAsia" w:ascii="楷体" w:hAnsi="楷体" w:eastAsia="楷体"/>
          <w:sz w:val="32"/>
          <w:szCs w:val="32"/>
        </w:rPr>
        <w:t>（六</w:t>
      </w:r>
      <w:r>
        <w:rPr>
          <w:rFonts w:hint="eastAsia" w:ascii="方正仿宋简体" w:hAnsi="方正仿宋简体" w:eastAsia="方正仿宋简体" w:cs="方正仿宋简体"/>
          <w:sz w:val="32"/>
          <w:szCs w:val="32"/>
        </w:rPr>
        <w:t>）政府债务情况。</w:t>
      </w:r>
      <w:r>
        <w:rPr>
          <w:rFonts w:hint="eastAsia" w:ascii="方正仿宋简体" w:hAnsi="方正仿宋简体" w:eastAsia="方正仿宋简体" w:cs="方正仿宋简体"/>
          <w:sz w:val="32"/>
          <w:szCs w:val="32"/>
          <w:lang w:eastAsia="zh-CN"/>
        </w:rPr>
        <w:t>截止</w:t>
      </w:r>
      <w:r>
        <w:rPr>
          <w:rFonts w:hint="eastAsia" w:ascii="方正仿宋简体" w:hAnsi="方正仿宋简体" w:eastAsia="方正仿宋简体" w:cs="方正仿宋简体"/>
          <w:sz w:val="32"/>
          <w:szCs w:val="32"/>
          <w:lang w:val="en-US" w:eastAsia="zh-CN"/>
        </w:rPr>
        <w:t>2024年1月31日班戈县人力资源和社会保障局无债务</w:t>
      </w:r>
      <w:r>
        <w:rPr>
          <w:rFonts w:hint="eastAsia" w:ascii="楷体" w:hAnsi="楷体" w:eastAsia="楷体"/>
          <w:sz w:val="32"/>
          <w:szCs w:val="32"/>
          <w:lang w:val="en-US" w:eastAsia="zh-CN"/>
        </w:rPr>
        <w:t>。</w:t>
      </w: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bidi w:val="0"/>
        <w:snapToGrid/>
        <w:spacing w:line="578" w:lineRule="exac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bidi w:val="0"/>
        <w:snapToGrid/>
        <w:spacing w:line="578" w:lineRule="exac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bidi w:val="0"/>
        <w:snapToGrid/>
        <w:spacing w:line="578" w:lineRule="exac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bidi w:val="0"/>
        <w:snapToGrid/>
        <w:spacing w:line="578" w:lineRule="exac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left"/>
        <w:textAlignment w:val="auto"/>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left"/>
        <w:textAlignment w:val="auto"/>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left"/>
        <w:textAlignment w:val="auto"/>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left"/>
        <w:textAlignment w:val="auto"/>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EAB0BA"/>
    <w:multiLevelType w:val="singleLevel"/>
    <w:tmpl w:val="9CEAB0B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5EB471E"/>
    <w:rsid w:val="24A6024F"/>
    <w:rsid w:val="2DC47B11"/>
    <w:rsid w:val="2ED23C76"/>
    <w:rsid w:val="52C7707E"/>
    <w:rsid w:val="61A60D0D"/>
    <w:rsid w:val="74590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304</TotalTime>
  <ScaleCrop>false</ScaleCrop>
  <LinksUpToDate>false</LinksUpToDate>
  <CharactersWithSpaces>4729</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2024-01-30T08:16:11Z</cp:lastPrinted>
  <dcterms:modified xsi:type="dcterms:W3CDTF">2024-01-30T08:17:16Z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