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西藏那曲班戈县马前乡小学2025</w:t>
      </w:r>
      <w:r>
        <w:rPr>
          <w:rFonts w:hint="eastAsia" w:ascii="方正小标宋简体" w:hAnsi="仿宋" w:eastAsia="方正小标宋简体"/>
          <w:sz w:val="44"/>
          <w:szCs w:val="44"/>
        </w:rPr>
        <w:t>年度部门（单位）预算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   月   </w:t>
      </w:r>
      <w:r>
        <w:rPr>
          <w:rFonts w:hint="eastAsia" w:ascii="仿宋" w:hAnsi="仿宋" w:eastAsia="仿宋"/>
          <w:sz w:val="32"/>
          <w:szCs w:val="32"/>
          <w:lang w:val="en-US" w:eastAsia="zh-CN"/>
        </w:rPr>
        <w:t xml:space="preserve">23  </w:t>
      </w:r>
      <w:r>
        <w:rPr>
          <w:rFonts w:hint="eastAsia" w:ascii="仿宋" w:hAnsi="仿宋" w:eastAsia="仿宋"/>
          <w:sz w:val="32"/>
          <w:szCs w:val="32"/>
        </w:rPr>
        <w:t xml:space="preserve"> 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cs="Times New Roman"/>
          <w:sz w:val="32"/>
          <w:szCs w:val="32"/>
        </w:rPr>
        <w:t xml:space="preserve"> </w:t>
      </w:r>
      <w:r>
        <w:rPr>
          <w:rFonts w:hint="eastAsia" w:ascii="方正小标宋简体" w:hAnsi="仿宋" w:eastAsia="方正小标宋简体"/>
          <w:sz w:val="32"/>
          <w:szCs w:val="32"/>
          <w:lang w:eastAsia="zh-CN"/>
        </w:rPr>
        <w:t>西藏那曲班戈县马前乡小学</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西藏那曲班戈县马前乡小学</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西藏那曲班戈县马前乡小学</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西藏那曲班戈县马前乡小学</w:t>
      </w:r>
      <w:r>
        <w:rPr>
          <w:rFonts w:hint="eastAsia" w:ascii="黑体" w:hAnsi="黑体" w:eastAsia="黑体"/>
          <w:sz w:val="32"/>
          <w:szCs w:val="32"/>
        </w:rPr>
        <w:t>收支总体情况</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西藏那曲班戈县马前乡小学</w:t>
      </w:r>
      <w:r>
        <w:rPr>
          <w:rFonts w:hint="eastAsia" w:ascii="黑体" w:hAnsi="黑体" w:eastAsia="黑体"/>
          <w:sz w:val="32"/>
          <w:szCs w:val="32"/>
        </w:rPr>
        <w:t>收入总体情况</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西藏那曲班戈县马前乡小学</w:t>
      </w:r>
      <w:r>
        <w:rPr>
          <w:rFonts w:hint="eastAsia" w:ascii="黑体" w:hAnsi="黑体" w:eastAsia="黑体"/>
          <w:sz w:val="32"/>
          <w:szCs w:val="32"/>
        </w:rPr>
        <w:t>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西藏那曲班戈县马前乡小学</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pStyle w:val="2"/>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（一）县委教育工委坚持党的教育工作的领导，聚焦“四件大事”聚力“四个创建”，紧扣“四个示范市”战略任务，统筹推进全县教育系统党的建设、思想政治、维护稳定工作。主要职责是：</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全面贯彻党的教育方针，指导教育领域贯彻执行党的路线方针政策。承担县委教育工作领导小组日常工作，研究拟订全县教育领域党的建设规划并指导实施。负责对全县教育领域党的建设重要问题进行调查研究，向县委提出意见建议，在职权范围内对有关问题作出决定。</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2.指导全县教育领域党的基层组织建设和党员队伍建设。指导全县教育领域精神文明建设。</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3.按照干部管理权限，协助县委及县委组织部加强学校领导班子和后备干部队伍建设。指导教育体育系统人才队伍建设工作，研究制定有关规划和措施。指导高层次人才的选拔培养和协调服务。</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4.负责教育领域宣传思想文化、统一战线、群团组织建设等工作。建立完善铸牢中华民族共同体意识纳入国民教育机制。加快建设教育强国，为中华民族伟大复兴提供有力支撑，指导学校深入开展铸牢中华民族共同体意识教育，深化爱国主义、民族团结进步和反分裂斗争教育。统筹推进教育领域维护稳定工作，监督指导各级各类学校公共安全和应急处置工作。会同有关部门做好校园及周边综合治理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5.完成县委交办的其他任务。</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二）县教育负责贯彻落实党中央关于教育工作的方针政策及自治区党委、市委、县委的工作要求，把坚持党对教育工作的领导落实到履行职责过程中，聚焦“四件大事”聚力“四个创建”，紧扣“四个示范市”战略任务，加快建设高质量教育体系，推动教育发展与经济社会发展相适应。主要职责是：</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1.贯彻执行国家教育体育改革与发展规划。制定全县教育体育改革发展规划和具体措施。贯彻落实教育体育领域相关政策。承担全县教育体育领域改革有关工作。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2.负责全县基础教育（含学前教育、特殊教育）、职业教育、民办教育的宏观管理。推进学前教育普及普惠安全优质发展，推进义务教育优质均衡发展和促进教育公平，负责义务教育的宏观指导与协调。贯彻落实国家关于各级各类学校设置标准，会同有关部门制定各级各类学校设置标准，指导各级各类学校德育、智育、体育、美育、劳动教育工作。负责教育基本信息的统计、分析和发布。主管全县教师工作。负责组织教师资格认定有关工作。规划和指导各级各类学校教师和教育行政干部队伍的建设，协调及管理本地的教师培训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3.指导面向中小学生（含幼儿园儿童）的校外培训管理工作，会同有关部门指导开展校外培训监管工作。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4.在权限范围内统筹管理全县各级各类教育领域的课程和教材工作。根据授权，协助开展地方教材建设工作。组织指导教育科学研究工作。承担全县教育信息化建设。</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5.研究制定全县教育考试招生具体措施并组织实施。负责全县学生管理、各级各类教育的学籍学历管理工作。参与制定普通高等学校毕业生就业具体措施，指导创新创业教育和就业工作。指导社会力量办学，对教育质量进行检查。</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6.贯彻执行党中央关于语言文字工作的方针政策及自治区党委、市委、县委的工作要求，会同有关部门制定实施国家通用语言文字推广普及行动方案。负责国家通用语言文字教育和推广工作。监督检查语言文字的应用情况。</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7.拟订全县教育体育经费具体措施、财务管理制度并监督实施。指导全县教育体育财务管理和教育体育经费监管工作。负责学生资助工作。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8.组织指导全县教育体育领域交流合作工作。根据授权，开展教育体育领域高水平对外开放。负责教育受援工作。负责异地办学有关工作。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9.配合指导全县教育体育产业的发展，负责全县各级各类学校基本建设，推进全民健身计划，促进全民健身和全民健康深度融合。指导群众性体育活动，监督实施国家体育锻炼标准，开展公民体质监测和全民健身计划实施情况评估。负责社会体育指导员队伍建设。按照创建全国民族团结进步模范区要求，组织开展保护、传承和发展民族传统体育活动工作。指导公共体育设施建设。负责公共体育场地设施监督管理。管理全县登山活动。</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10.统筹规划全县竞技体育发展，指导协调体育训练、体育竞赛和运动队伍建设。组织参加全区综合性运动会，负责组织协调全县综合性运动会相关工作，协调运动员文化教育和社会保障工作。会同有关部门开展对兴奋剂问题实施综合治理，组织开展反兴奋剂宣传教育工作。组织开展体育训练科学技术研究“人才引进”工作，做好引进人才的教育与管理。</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11.统筹规划全县青少年体育发展，指导和推进青少年体育工作。指导全县群众的体育、竞技体育和体育经济工作以及全民健康活动计划的实施。实施国家及自治区体育锻炼标准，推动国民体质监测和社会体育指导工作队伍制度建设。</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12.拟订体育产业发展措施，规范体育服务管理，依法依规管理全县体育标准化工作。落实体育产业发展工作协调机制，发展登山等高原特色体育项目，助力文化旅游产业发展。负责全县体育彩票管理工作。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13.负责全县各级各类教育督导检查和评估验收工作。负责督政督学和质量监测工作。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14.负责本行业本领域安全生产监管和应急处置工作。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15.完成县委、县政府交办的其他任务。</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西藏那曲班戈县马前乡小学</w:t>
      </w:r>
      <w:r>
        <w:rPr>
          <w:rFonts w:hint="eastAsia" w:ascii="黑体" w:hAnsi="黑体" w:eastAsia="黑体"/>
          <w:sz w:val="32"/>
          <w:szCs w:val="32"/>
        </w:rPr>
        <w:t>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lang w:eastAsia="zh-CN"/>
        </w:rPr>
        <w:t>西藏那曲班戈县马前乡小学</w:t>
      </w:r>
      <w:r>
        <w:rPr>
          <w:rFonts w:hint="eastAsia" w:ascii="仿宋" w:hAnsi="仿宋" w:eastAsia="仿宋"/>
          <w:sz w:val="32"/>
          <w:szCs w:val="32"/>
        </w:rPr>
        <w:t>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纳入本部门（单位）预算编制范围的二级预算单位包括：</w:t>
      </w:r>
      <w:r>
        <w:rPr>
          <w:rFonts w:hint="eastAsia" w:ascii="仿宋" w:hAnsi="仿宋" w:eastAsia="仿宋"/>
          <w:sz w:val="32"/>
          <w:szCs w:val="32"/>
          <w:lang w:val="en-US" w:eastAsia="zh-CN"/>
        </w:rPr>
        <w:t>0</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西藏那曲班戈县马前乡小学2025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西藏那曲班戈县马前乡小学2025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例如：收支总预算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1707.64</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西藏那曲班戈县马前乡小学</w:t>
      </w:r>
      <w:r>
        <w:rPr>
          <w:rFonts w:hint="eastAsia" w:ascii="黑体" w:hAnsi="黑体" w:eastAsia="黑体"/>
          <w:sz w:val="32"/>
          <w:szCs w:val="32"/>
        </w:rPr>
        <w:t>收入总体情况</w:t>
      </w:r>
    </w:p>
    <w:p>
      <w:pPr>
        <w:ind w:firstLine="640" w:firstLineChars="200"/>
        <w:rPr>
          <w:rFonts w:ascii="仿宋" w:hAnsi="仿宋" w:eastAsia="仿宋"/>
          <w:sz w:val="32"/>
          <w:szCs w:val="32"/>
        </w:rPr>
      </w:pPr>
      <w:r>
        <w:rPr>
          <w:rFonts w:hint="eastAsia" w:ascii="仿宋" w:hAnsi="仿宋" w:eastAsia="仿宋"/>
          <w:sz w:val="32"/>
          <w:szCs w:val="32"/>
        </w:rPr>
        <w:t>例如：收入预算总量</w:t>
      </w:r>
      <w:r>
        <w:rPr>
          <w:rFonts w:hint="eastAsia" w:ascii="仿宋" w:hAnsi="仿宋" w:eastAsia="仿宋"/>
          <w:sz w:val="32"/>
          <w:szCs w:val="32"/>
          <w:u w:val="single"/>
        </w:rPr>
        <w:t xml:space="preserve"> 847.04  </w:t>
      </w:r>
      <w:r>
        <w:rPr>
          <w:rFonts w:hint="eastAsia" w:ascii="仿宋" w:hAnsi="仿宋" w:eastAsia="仿宋"/>
          <w:sz w:val="32"/>
          <w:szCs w:val="32"/>
        </w:rPr>
        <w:t>万元，同比增加</w:t>
      </w:r>
      <w:r>
        <w:rPr>
          <w:rFonts w:hint="eastAsia" w:ascii="仿宋" w:hAnsi="仿宋" w:eastAsia="仿宋"/>
          <w:sz w:val="32"/>
          <w:szCs w:val="32"/>
          <w:lang w:val="en-US" w:eastAsia="zh-CN"/>
        </w:rPr>
        <w:t>243.14</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13.56</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845.94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99.87</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0.12</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西藏那曲班戈县马前乡小学</w:t>
      </w:r>
      <w:r>
        <w:rPr>
          <w:rFonts w:hint="eastAsia" w:ascii="黑体" w:hAnsi="黑体" w:eastAsia="黑体"/>
          <w:sz w:val="32"/>
          <w:szCs w:val="32"/>
        </w:rPr>
        <w:t>支出总体情况</w:t>
      </w:r>
    </w:p>
    <w:p>
      <w:pPr>
        <w:ind w:firstLine="640" w:firstLineChars="200"/>
        <w:rPr>
          <w:rFonts w:ascii="仿宋" w:hAnsi="仿宋" w:eastAsia="仿宋"/>
          <w:sz w:val="32"/>
          <w:szCs w:val="32"/>
        </w:rPr>
      </w:pPr>
      <w:r>
        <w:rPr>
          <w:rFonts w:hint="eastAsia" w:ascii="仿宋" w:hAnsi="仿宋" w:eastAsia="仿宋"/>
          <w:sz w:val="32"/>
          <w:szCs w:val="32"/>
        </w:rPr>
        <w:t>例如：支出预算总量</w:t>
      </w:r>
      <w:r>
        <w:rPr>
          <w:rFonts w:hint="eastAsia" w:ascii="仿宋" w:hAnsi="仿宋" w:eastAsia="仿宋"/>
          <w:sz w:val="32"/>
          <w:szCs w:val="32"/>
          <w:u w:val="single"/>
        </w:rPr>
        <w:t xml:space="preserve"> 657.45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200.48</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例如：财政拨款收支总预算</w:t>
      </w:r>
      <w:r>
        <w:rPr>
          <w:rFonts w:hint="eastAsia" w:ascii="仿宋" w:hAnsi="仿宋" w:eastAsia="仿宋"/>
          <w:sz w:val="32"/>
          <w:szCs w:val="32"/>
          <w:u w:val="single"/>
          <w:lang w:val="en-US" w:eastAsia="zh-CN"/>
        </w:rPr>
        <w:t>1707.64</w:t>
      </w:r>
      <w:r>
        <w:rPr>
          <w:rFonts w:hint="eastAsia" w:ascii="仿宋" w:hAnsi="仿宋" w:eastAsia="仿宋"/>
          <w:sz w:val="32"/>
          <w:szCs w:val="32"/>
        </w:rPr>
        <w:t>万元，同比增加</w:t>
      </w:r>
      <w:r>
        <w:rPr>
          <w:rFonts w:hint="eastAsia" w:ascii="仿宋" w:hAnsi="仿宋" w:eastAsia="仿宋"/>
          <w:sz w:val="32"/>
          <w:szCs w:val="32"/>
          <w:lang w:val="en-US" w:eastAsia="zh-CN"/>
        </w:rPr>
        <w:t>502.04</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845.94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13.56</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808.90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3.46 </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46</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 其他支出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2.24</w:t>
      </w:r>
      <w:r>
        <w:rPr>
          <w:rFonts w:hint="eastAsia" w:ascii="仿宋" w:hAnsi="仿宋" w:eastAsia="仿宋"/>
          <w:sz w:val="32"/>
          <w:szCs w:val="32"/>
          <w:u w:val="single"/>
        </w:rPr>
        <w:t xml:space="preserve"> </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845.94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年执行数或</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120.82</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845.94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%；教育支出</w:t>
      </w:r>
      <w:r>
        <w:rPr>
          <w:rFonts w:hint="eastAsia" w:ascii="仿宋" w:hAnsi="仿宋" w:eastAsia="仿宋"/>
          <w:sz w:val="32"/>
          <w:szCs w:val="32"/>
          <w:u w:val="single"/>
        </w:rPr>
        <w:t xml:space="preserve"> 808.9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95.62</w:t>
      </w:r>
      <w:r>
        <w:rPr>
          <w:rFonts w:hint="eastAsia" w:ascii="仿宋" w:hAnsi="仿宋" w:eastAsia="仿宋"/>
          <w:sz w:val="32"/>
          <w:szCs w:val="32"/>
          <w:u w:val="single"/>
        </w:rPr>
        <w:t xml:space="preserve">  </w:t>
      </w:r>
      <w:r>
        <w:rPr>
          <w:rFonts w:hint="eastAsia" w:ascii="仿宋" w:hAnsi="仿宋" w:eastAsia="仿宋"/>
          <w:sz w:val="32"/>
          <w:szCs w:val="32"/>
        </w:rPr>
        <w:t>%； 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 社会保障和就业支出</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val="en-US" w:eastAsia="zh-CN"/>
        </w:rPr>
        <w:t>；卫生健康支出</w:t>
      </w:r>
      <w:r>
        <w:rPr>
          <w:rFonts w:hint="eastAsia" w:ascii="仿宋" w:hAnsi="仿宋" w:eastAsia="仿宋"/>
          <w:sz w:val="32"/>
          <w:szCs w:val="32"/>
          <w:u w:val="single"/>
          <w:lang w:val="en-US" w:eastAsia="zh-CN"/>
        </w:rPr>
        <w:t>3.46</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0.4</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 住房保障支出</w:t>
      </w:r>
      <w:r>
        <w:rPr>
          <w:rFonts w:hint="eastAsia" w:ascii="仿宋" w:hAnsi="仿宋" w:eastAsia="仿宋"/>
          <w:sz w:val="32"/>
          <w:szCs w:val="32"/>
          <w:u w:val="single"/>
          <w:lang w:val="en-US" w:eastAsia="zh-CN"/>
        </w:rPr>
        <w:t>46</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5.43</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；其他支出</w:t>
      </w:r>
      <w:r>
        <w:rPr>
          <w:rFonts w:hint="eastAsia" w:ascii="仿宋" w:hAnsi="仿宋" w:eastAsia="仿宋"/>
          <w:sz w:val="32"/>
          <w:szCs w:val="32"/>
          <w:lang w:val="en-US" w:eastAsia="zh-CN"/>
        </w:rPr>
        <w:t>2.24</w:t>
      </w:r>
      <w:r>
        <w:rPr>
          <w:rFonts w:hint="eastAsia" w:ascii="仿宋" w:hAnsi="仿宋" w:eastAsia="仿宋"/>
          <w:sz w:val="32"/>
          <w:szCs w:val="32"/>
        </w:rPr>
        <w:t>万元</w:t>
      </w:r>
      <w:r>
        <w:rPr>
          <w:rFonts w:hint="eastAsia" w:ascii="仿宋" w:hAnsi="仿宋" w:eastAsia="仿宋"/>
          <w:sz w:val="32"/>
          <w:szCs w:val="32"/>
          <w:lang w:val="en-US" w:eastAsia="zh-CN"/>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0.26</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val="en-US"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例如：1.一般公共服务支出（类）财政事务（款）行政运行（项）预算数为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858.00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811.61</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46.38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1.1</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8.9</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项目资金减少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例如：“三公”经费预算数为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无</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bookmarkStart w:id="0" w:name="_GoBack"/>
      <w:bookmarkEnd w:id="0"/>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eastAsia="zh-CN"/>
        </w:rPr>
        <w:t>西藏那曲班戈县马前乡小学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家行政单位以及……中心等</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年预算减少（增加</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万元，降低（增长</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个，分别是（项目名称乡村学校少年宫项目资金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rPr>
      </w:pPr>
      <w:r>
        <w:rPr>
          <w:rFonts w:hint="eastAsia" w:ascii="楷体" w:hAnsi="楷体" w:eastAsia="楷体"/>
          <w:sz w:val="32"/>
          <w:szCs w:val="32"/>
        </w:rPr>
        <w:t>……</w:t>
      </w:r>
    </w:p>
    <w:p>
      <w:pPr>
        <w:ind w:firstLine="640" w:firstLineChars="200"/>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3D1642F"/>
    <w:rsid w:val="0FD30983"/>
    <w:rsid w:val="103B70AE"/>
    <w:rsid w:val="115F1E2D"/>
    <w:rsid w:val="13781A7E"/>
    <w:rsid w:val="180B4D80"/>
    <w:rsid w:val="191926D6"/>
    <w:rsid w:val="1EA50F23"/>
    <w:rsid w:val="22A10C5C"/>
    <w:rsid w:val="249E2CA0"/>
    <w:rsid w:val="24DF7A3D"/>
    <w:rsid w:val="267C7367"/>
    <w:rsid w:val="273264DD"/>
    <w:rsid w:val="28256D6A"/>
    <w:rsid w:val="2B004F19"/>
    <w:rsid w:val="2FE158E6"/>
    <w:rsid w:val="31CA4F3C"/>
    <w:rsid w:val="3834490B"/>
    <w:rsid w:val="38830543"/>
    <w:rsid w:val="3E145966"/>
    <w:rsid w:val="3F3A4418"/>
    <w:rsid w:val="3F3D14E4"/>
    <w:rsid w:val="409A440B"/>
    <w:rsid w:val="424D72D5"/>
    <w:rsid w:val="441049B7"/>
    <w:rsid w:val="45216F86"/>
    <w:rsid w:val="477D7ED7"/>
    <w:rsid w:val="477E5958"/>
    <w:rsid w:val="4C7450FB"/>
    <w:rsid w:val="4E015B87"/>
    <w:rsid w:val="4ED66E64"/>
    <w:rsid w:val="4F297EE5"/>
    <w:rsid w:val="544E7267"/>
    <w:rsid w:val="5AFC1BD0"/>
    <w:rsid w:val="5BB86188"/>
    <w:rsid w:val="5C60618E"/>
    <w:rsid w:val="64991719"/>
    <w:rsid w:val="65105ECA"/>
    <w:rsid w:val="66533F6E"/>
    <w:rsid w:val="68BE0B64"/>
    <w:rsid w:val="6A7C1C94"/>
    <w:rsid w:val="6B834B70"/>
    <w:rsid w:val="6FA06CE6"/>
    <w:rsid w:val="704A549B"/>
    <w:rsid w:val="753C5BE5"/>
    <w:rsid w:val="77E90CC7"/>
    <w:rsid w:val="784D09EB"/>
    <w:rsid w:val="7EAF2C64"/>
    <w:rsid w:val="7F132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qFormat/>
    <w:uiPriority w:val="0"/>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框文本 字符"/>
    <w:basedOn w:val="7"/>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14</TotalTime>
  <ScaleCrop>false</ScaleCrop>
  <LinksUpToDate>false</LinksUpToDate>
  <CharactersWithSpaces>4729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cp:lastModifiedBy>
  <cp:lastPrinted>2021-01-27T11:28:00Z</cp:lastPrinted>
  <dcterms:modified xsi:type="dcterms:W3CDTF">2025-01-24T08:39:23Z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CAF68531095B4D558704CF0FBDE839DA</vt:lpwstr>
  </property>
</Properties>
</file>