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lang w:eastAsia="zh-CN"/>
        </w:rPr>
        <w:t>西藏那曲班戈县第二（中石化）小学2025</w:t>
      </w:r>
      <w:r>
        <w:rPr>
          <w:rFonts w:hint="eastAsia" w:ascii="方正小标宋简体" w:hAnsi="仿宋" w:eastAsia="方正小标宋简体"/>
          <w:sz w:val="44"/>
          <w:szCs w:val="44"/>
        </w:rPr>
        <w:t>年度部门（单位）预算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val="en-US" w:eastAsia="zh-CN"/>
        </w:rPr>
        <w:t>2025</w:t>
      </w:r>
      <w:r>
        <w:rPr>
          <w:rFonts w:hint="eastAsia" w:ascii="仿宋" w:hAnsi="仿宋" w:eastAsia="仿宋"/>
          <w:sz w:val="32"/>
          <w:szCs w:val="32"/>
        </w:rPr>
        <w:t xml:space="preserve">年  </w:t>
      </w:r>
      <w:r>
        <w:rPr>
          <w:rFonts w:hint="eastAsia" w:ascii="仿宋" w:hAnsi="仿宋" w:eastAsia="仿宋"/>
          <w:sz w:val="32"/>
          <w:szCs w:val="32"/>
          <w:lang w:val="en-US" w:eastAsia="zh-CN"/>
        </w:rPr>
        <w:t>1</w:t>
      </w:r>
      <w:r>
        <w:rPr>
          <w:rFonts w:hint="eastAsia" w:ascii="仿宋" w:hAnsi="仿宋" w:eastAsia="仿宋"/>
          <w:sz w:val="32"/>
          <w:szCs w:val="32"/>
        </w:rPr>
        <w:t xml:space="preserve">   月   </w:t>
      </w:r>
      <w:r>
        <w:rPr>
          <w:rFonts w:hint="eastAsia" w:ascii="仿宋" w:hAnsi="仿宋" w:eastAsia="仿宋"/>
          <w:sz w:val="32"/>
          <w:szCs w:val="32"/>
          <w:lang w:val="en-US" w:eastAsia="zh-CN"/>
        </w:rPr>
        <w:t>23</w:t>
      </w:r>
      <w:r>
        <w:rPr>
          <w:rFonts w:hint="eastAsia" w:ascii="仿宋" w:hAnsi="仿宋" w:eastAsia="仿宋"/>
          <w:sz w:val="32"/>
          <w:szCs w:val="32"/>
        </w:rPr>
        <w:t xml:space="preserve">  日</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cs="Times New Roman"/>
          <w:sz w:val="32"/>
          <w:szCs w:val="32"/>
        </w:rPr>
        <w:t xml:space="preserve"> </w:t>
      </w:r>
      <w:r>
        <w:rPr>
          <w:rFonts w:hint="eastAsia" w:ascii="方正小标宋简体" w:hAnsi="仿宋" w:eastAsia="方正小标宋简体"/>
          <w:sz w:val="32"/>
          <w:szCs w:val="32"/>
          <w:lang w:eastAsia="zh-CN"/>
        </w:rPr>
        <w:t>西藏那曲班戈县第二（中石化）小学</w:t>
      </w:r>
      <w:r>
        <w:rPr>
          <w:rFonts w:hint="eastAsia" w:ascii="方正小标宋简体" w:hAnsi="仿宋" w:eastAsia="方正小标宋简体"/>
          <w:sz w:val="32"/>
          <w:szCs w:val="32"/>
        </w:rPr>
        <w:t>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w:t>
      </w:r>
      <w:r>
        <w:rPr>
          <w:rFonts w:hint="eastAsia" w:ascii="方正小标宋简体" w:hAnsi="仿宋" w:eastAsia="方正小标宋简体"/>
          <w:sz w:val="32"/>
          <w:szCs w:val="32"/>
        </w:rPr>
        <w:t>单位</w:t>
      </w:r>
      <w:r>
        <w:rPr>
          <w:rFonts w:hint="eastAsia" w:ascii="黑体" w:hAnsi="黑体" w:eastAsia="黑体"/>
          <w:sz w:val="32"/>
          <w:szCs w:val="32"/>
        </w:rPr>
        <w:t>）机构设置</w:t>
      </w:r>
      <w:r>
        <w:rPr>
          <w:rFonts w:ascii="黑体" w:hAnsi="黑体" w:eastAsia="黑体"/>
          <w:sz w:val="32"/>
          <w:szCs w:val="32"/>
        </w:rPr>
        <w:t>情况</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西藏那曲班戈县第二（中石化）小学</w:t>
      </w:r>
      <w:r>
        <w:rPr>
          <w:rFonts w:hint="eastAsia" w:ascii="方正小标宋简体" w:hAnsi="仿宋" w:eastAsia="方正小标宋简体"/>
          <w:sz w:val="32"/>
          <w:szCs w:val="32"/>
        </w:rPr>
        <w:t>预算明细表</w:t>
      </w:r>
    </w:p>
    <w:p>
      <w:pPr>
        <w:jc w:val="left"/>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eastAsia="zh-CN"/>
        </w:rPr>
        <w:t>西藏那曲班戈县第二（中石化）小学</w:t>
      </w:r>
      <w:r>
        <w:rPr>
          <w:rFonts w:hint="eastAsia" w:ascii="方正小标宋简体" w:hAnsi="仿宋" w:eastAsia="方正小标宋简体"/>
          <w:sz w:val="32"/>
          <w:szCs w:val="32"/>
        </w:rPr>
        <w:t>预算数据分析</w:t>
      </w:r>
    </w:p>
    <w:p>
      <w:pPr>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eastAsia="zh-CN"/>
        </w:rPr>
        <w:t>西藏那曲班戈县第二（中石化）小学</w:t>
      </w:r>
      <w:r>
        <w:rPr>
          <w:rFonts w:hint="eastAsia" w:ascii="黑体" w:hAnsi="黑体" w:eastAsia="黑体"/>
          <w:sz w:val="32"/>
          <w:szCs w:val="32"/>
        </w:rPr>
        <w:t>收支总体情况</w:t>
      </w:r>
    </w:p>
    <w:p>
      <w:pPr>
        <w:rPr>
          <w:rFonts w:hint="eastAsia"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西藏那曲班戈县第二（中石化）小学</w:t>
      </w:r>
      <w:r>
        <w:rPr>
          <w:rFonts w:hint="eastAsia" w:ascii="黑体" w:hAnsi="黑体" w:eastAsia="黑体"/>
          <w:sz w:val="32"/>
          <w:szCs w:val="32"/>
        </w:rPr>
        <w:t>收入总体情况</w:t>
      </w:r>
    </w:p>
    <w:p>
      <w:pPr>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eastAsia="zh-CN"/>
        </w:rPr>
        <w:t>西藏那曲班戈县第二（中石化）小学</w:t>
      </w:r>
      <w:r>
        <w:rPr>
          <w:rFonts w:hint="eastAsia" w:ascii="黑体" w:hAnsi="黑体" w:eastAsia="黑体"/>
          <w:sz w:val="32"/>
          <w:szCs w:val="32"/>
        </w:rPr>
        <w:t>支出总体情况</w:t>
      </w:r>
    </w:p>
    <w:p>
      <w:pPr>
        <w:rPr>
          <w:rFonts w:ascii="黑体" w:hAnsi="黑体" w:eastAsia="黑体"/>
          <w:sz w:val="32"/>
          <w:szCs w:val="32"/>
        </w:rPr>
      </w:pPr>
      <w:r>
        <w:rPr>
          <w:rFonts w:hint="eastAsia" w:ascii="黑体" w:hAnsi="黑体" w:eastAsia="黑体"/>
          <w:sz w:val="32"/>
          <w:szCs w:val="32"/>
        </w:rPr>
        <w:t>四、财政拨款收支总体情况</w:t>
      </w:r>
    </w:p>
    <w:p>
      <w:pPr>
        <w:rPr>
          <w:rFonts w:ascii="黑体" w:hAnsi="黑体" w:eastAsia="黑体"/>
          <w:sz w:val="32"/>
          <w:szCs w:val="32"/>
        </w:rPr>
      </w:pPr>
      <w:r>
        <w:rPr>
          <w:rFonts w:hint="eastAsia" w:ascii="黑体" w:hAnsi="黑体" w:eastAsia="黑体"/>
          <w:sz w:val="32"/>
          <w:szCs w:val="32"/>
        </w:rPr>
        <w:t>五、一般公共预算支出总体情况（按功能分类科目）</w:t>
      </w:r>
    </w:p>
    <w:p>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pPr>
        <w:rPr>
          <w:rFonts w:ascii="黑体" w:hAnsi="黑体" w:eastAsia="黑体"/>
          <w:sz w:val="32"/>
          <w:szCs w:val="32"/>
        </w:rPr>
      </w:pPr>
      <w:r>
        <w:rPr>
          <w:rFonts w:hint="eastAsia" w:ascii="黑体" w:hAnsi="黑体" w:eastAsia="黑体"/>
          <w:sz w:val="32"/>
          <w:szCs w:val="32"/>
        </w:rPr>
        <w:t>七、一般公共预算“三公”经费支出总体情况</w:t>
      </w:r>
    </w:p>
    <w:p>
      <w:pPr>
        <w:rPr>
          <w:rFonts w:ascii="黑体" w:hAnsi="黑体" w:eastAsia="黑体"/>
          <w:sz w:val="32"/>
          <w:szCs w:val="32"/>
        </w:rPr>
      </w:pPr>
      <w:r>
        <w:rPr>
          <w:rFonts w:hint="eastAsia" w:ascii="黑体" w:hAnsi="黑体" w:eastAsia="黑体"/>
          <w:sz w:val="32"/>
          <w:szCs w:val="32"/>
        </w:rPr>
        <w:t>八、政府性基金预算支出总体情况</w:t>
      </w:r>
    </w:p>
    <w:p>
      <w:pPr>
        <w:rPr>
          <w:rFonts w:ascii="黑体" w:hAnsi="黑体" w:eastAsia="黑体"/>
          <w:sz w:val="32"/>
          <w:szCs w:val="32"/>
        </w:rPr>
      </w:pPr>
      <w:r>
        <w:rPr>
          <w:rFonts w:hint="eastAsia" w:ascii="黑体" w:hAnsi="黑体" w:eastAsia="黑体"/>
          <w:sz w:val="32"/>
          <w:szCs w:val="32"/>
        </w:rPr>
        <w:t>九、政府性基金“三公”经费支出总体情况</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西藏那曲班戈县第二（中石化）小学</w:t>
      </w:r>
      <w:r>
        <w:rPr>
          <w:rFonts w:hint="eastAsia" w:ascii="方正小标宋简体" w:hAnsi="仿宋" w:eastAsia="方正小标宋简体"/>
          <w:sz w:val="32"/>
          <w:szCs w:val="32"/>
        </w:rPr>
        <w:t>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pStyle w:val="2"/>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（一）县委教育工委坚持党的教育工作的领导，聚焦“四件大事”聚力“四个创建”，紧扣“四个示范市”战略任务，统筹推进全县教育系统党的建设、思想政治、维护稳定工作。主要职责是：</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1.全面贯彻党的教育方针，指导教育领域贯彻执行党的路线方针政策。承担县委教育工作领导小组日常工作，研究拟订全县教育领域党的建设规划并指导实施。负责对全县教育领域党的建设重要问题进行调查研究，向县委提出意见建议，在职权范围内对有关问题作出决定。</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2.指导全县教育领域党的基层组织建设和党员队伍建设。指导全县教育领域精神文明建设。</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3.按照干部管理权限，协助县委及县委组织部加强学校领导班子和后备干部队伍建设。指导教育体育系统人才队伍建设工作，研究制定有关规划和措施。指导高层次人才的选拔培养和协调服务。</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4.负责教育领域宣传思想文化、统一战线、群团组织建设等工作。建立完善铸牢中华民族共同体意识纳入国民教育机制。加快建设教育强国，为中华民族伟大复兴提供有力支撑，指导学校深入开展铸牢中华民族共同体意识教育，深化爱国主义、民族团结进步和反分裂斗争教育。统筹推进教育领域维护稳定工作，监督指导各级各类学校公共安全和应急处置工作。会同有关部门做好校园及周边综合治理工作。</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5.完成县委交办的其他任务。</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二）县教育负责贯彻落实党中央关于教育工作的方针政策及自治区党委、市委、县委的工作要求，把坚持党对教育工作的领导落实到履行职责过程中，聚焦“四件大事”聚力“四个创建”，紧扣“四个示范市”战略任务，加快建设高质量教育体系，推动教育发展与经济社会发展相适应。主要职责是：</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1.贯彻执行国家教育体育改革与发展规划。制定全县教育体育改革发展规划和具体措施。贯彻落实教育体育领域相关政策。承担全县教育体育领域改革有关工作。</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2.负责全县基础教育（含学前教育、特殊教育）、职业教育、民办教育的宏观管理。推进学前教育普及普惠安全优质发展，推进义务教育优质均衡发展和促进教育公平，负责义务教育的宏观指导与协调。贯彻落实国家关于各级各类学校设置标准，会同有关部门制定各级各类学校设置标准，指导各级各类学校德育、智育、体育、美育、劳动教育工作。负责教育基本信息的统计、分析和发布。主管全县教师工作。负责组织教师资格认定有关工作。规划和指导各级各类学校教师和教育行政干部队伍的建设，协调及管理本地的教师培训工作。</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3.指导面向中小学生（含幼儿园儿童）的校外培训管理工作，会同有关部门指导开展校外培训监管工作。</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4.在权限范围内统筹管理全县各级各类教育领域的课程和教材工作。根据授权，协助开展地方教材建设工作。组织指导教育科学研究工作。承担全县教育信息化建设。</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5.研究制定全县教育考试招生具体措施并组织实施。负责全县学生管理、各级各类教育的学籍学历管理工作。参与制定普通高等学校毕业生就业具体措施，指导创新创业教育和就业工作。指导社会力量办学，对教育质量进行检查。</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6.贯彻执行党中央关于语言文字工作的方针政策及自治区党委、市委、县委的工作要求，会同有关部门制定实施国家通用语言文字推广普及行动方案。负责国家通用语言文字教育和推广工作。监督检查语言文字的应用情况。</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7.拟订全县教育体育经费具体措施、财务管理制度并监督实施。指导全县教育体育财务管理和教育体育经费监管工作。负责学生资助工作。</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8.组织指导全县教育体育领域交流合作工作。根据授权，开展教育体育领域高水平对外开放。负责教育受援工作。负责异地办学有关工作。</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9.配合指导全县教育体育产业的发展，负责全县各级各类学校基本建设，推进全民健身计划，促进全民健身和全民健康深度融合。指导群众性体育活动，监督实施国家体育锻炼标准，开展公民体质监测和全民健身计划实施情况评估。负责社会体育指导员队伍建设。按照创建全国民族团结进步模范区要求，组织开展保护、传承和发展民族传统体育活动工作。指导公共体育设施建设。负责公共体育场地设施监督管理。管理全县登山活动。</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10.统筹规划全县竞技体育发展，指导协调体育训练、体育竞赛和运动队伍建设。组织参加全区综合性运动会，负责组织协调全县综合性运动会相关工作，协调运动员文化教育和社会保障工作。会同有关部门开展对兴奋剂问题实施综合治理，组织开展反兴奋剂宣传教育工作。组织开展体育训练科学技术研究“人才引进”工作，做好引进人才的教育与管理。</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11.统筹规划全县青少年体育发展，指导和推进青少年体育工作。指导全县群众的体育、竞技体育和体育经济工作以及全民健康活动计划的实施。实施国家及自治区体育锻炼标准，推动国民体质监测和社会体育指导工作队伍制度建设。</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12.拟订体育产业发展措施，规范体育服务管理，依法依规管理全县体育标准化工作。落实体育产业发展工作协调机制，发展登山等高原特色体育项目，助力文化旅游产业发展。负责全县体育彩票管理工作。</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13.负责全县各级各类教育督导检查和评估验收工作。负责督政督学和质量监测工作。</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14.负责本行业本领域安全生产监管和应急处置工作。</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15.完成县委、县政府交办的其他任务。</w:t>
      </w:r>
    </w:p>
    <w:p>
      <w:pPr>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西藏那曲班戈县第二（中石化）小学</w:t>
      </w:r>
      <w:r>
        <w:rPr>
          <w:rFonts w:hint="eastAsia" w:ascii="黑体" w:hAnsi="黑体" w:eastAsia="黑体"/>
          <w:sz w:val="32"/>
          <w:szCs w:val="32"/>
        </w:rPr>
        <w:t>机构设置</w:t>
      </w:r>
      <w:r>
        <w:rPr>
          <w:rFonts w:ascii="黑体" w:hAnsi="黑体" w:eastAsia="黑体"/>
          <w:sz w:val="32"/>
          <w:szCs w:val="32"/>
        </w:rPr>
        <w:t>情况</w:t>
      </w:r>
    </w:p>
    <w:p>
      <w:pPr>
        <w:ind w:firstLine="640" w:firstLineChars="200"/>
        <w:rPr>
          <w:rFonts w:ascii="仿宋" w:hAnsi="仿宋" w:eastAsia="仿宋"/>
          <w:sz w:val="32"/>
          <w:szCs w:val="32"/>
        </w:rPr>
      </w:pPr>
      <w:r>
        <w:rPr>
          <w:rFonts w:hint="eastAsia" w:ascii="仿宋" w:hAnsi="仿宋" w:eastAsia="仿宋"/>
          <w:sz w:val="32"/>
          <w:szCs w:val="32"/>
          <w:lang w:eastAsia="zh-CN"/>
        </w:rPr>
        <w:t>西藏那曲班戈县教育局机关</w:t>
      </w:r>
      <w:r>
        <w:rPr>
          <w:rFonts w:hint="eastAsia" w:ascii="仿宋" w:hAnsi="仿宋" w:eastAsia="仿宋"/>
          <w:sz w:val="32"/>
          <w:szCs w:val="32"/>
        </w:rPr>
        <w:t>内设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w:t>
      </w:r>
      <w:r>
        <w:rPr>
          <w:rFonts w:hint="eastAsia" w:ascii="仿宋" w:hAnsi="仿宋" w:eastAsia="仿宋"/>
          <w:sz w:val="32"/>
          <w:szCs w:val="32"/>
          <w:u w:val="single"/>
        </w:rPr>
        <w:t xml:space="preserve">  </w:t>
      </w:r>
      <w:r>
        <w:rPr>
          <w:rFonts w:hint="eastAsia" w:ascii="仿宋" w:hAnsi="仿宋" w:eastAsia="仿宋"/>
          <w:sz w:val="32"/>
          <w:szCs w:val="32"/>
        </w:rPr>
        <w:t>个机构、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个处（详细到</w:t>
      </w:r>
      <w:r>
        <w:rPr>
          <w:rFonts w:hint="eastAsia" w:ascii="仿宋" w:hAnsi="仿宋" w:eastAsia="仿宋"/>
          <w:sz w:val="32"/>
          <w:szCs w:val="32"/>
          <w:u w:val="single"/>
        </w:rPr>
        <w:t xml:space="preserve">   </w:t>
      </w:r>
      <w:r>
        <w:rPr>
          <w:rFonts w:hint="eastAsia" w:ascii="仿宋" w:hAnsi="仿宋" w:eastAsia="仿宋"/>
          <w:sz w:val="32"/>
          <w:szCs w:val="32"/>
        </w:rPr>
        <w:t>个二级单位、</w:t>
      </w:r>
      <w:r>
        <w:rPr>
          <w:rFonts w:hint="eastAsia" w:ascii="仿宋" w:hAnsi="仿宋" w:eastAsia="仿宋"/>
          <w:sz w:val="32"/>
          <w:szCs w:val="32"/>
          <w:u w:val="single"/>
        </w:rPr>
        <w:t xml:space="preserve">   </w:t>
      </w:r>
      <w:r>
        <w:rPr>
          <w:rFonts w:hint="eastAsia" w:ascii="仿宋" w:hAnsi="仿宋" w:eastAsia="仿宋"/>
          <w:sz w:val="32"/>
          <w:szCs w:val="32"/>
        </w:rPr>
        <w:t>个三级预算单位。</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rPr>
        <w:t>纳入本部门（单位）预算编制范围的二级预算单位包括：</w:t>
      </w:r>
      <w:r>
        <w:rPr>
          <w:rFonts w:hint="eastAsia" w:ascii="仿宋" w:hAnsi="仿宋" w:eastAsia="仿宋"/>
          <w:sz w:val="32"/>
          <w:szCs w:val="32"/>
          <w:lang w:val="en-US" w:eastAsia="zh-CN"/>
        </w:rPr>
        <w:t>0</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西藏那曲班戈县第二（中石化）小学2025</w:t>
      </w:r>
      <w:r>
        <w:rPr>
          <w:rFonts w:hint="eastAsia" w:ascii="方正小标宋简体" w:hAnsi="仿宋" w:eastAsia="方正小标宋简体"/>
          <w:sz w:val="32"/>
          <w:szCs w:val="32"/>
        </w:rPr>
        <w:t>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hint="eastAsia"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hint="eastAsia" w:ascii="方正小标宋简体" w:hAnsi="仿宋" w:eastAsia="方正小标宋简体"/>
          <w:sz w:val="32"/>
          <w:szCs w:val="32"/>
        </w:rPr>
      </w:pPr>
      <w:r>
        <w:rPr>
          <w:rFonts w:hint="eastAsia" w:ascii="方正小标宋简体" w:hAnsi="仿宋" w:eastAsia="方正小标宋简体"/>
          <w:sz w:val="32"/>
          <w:szCs w:val="32"/>
          <w:lang w:eastAsia="zh-CN"/>
        </w:rPr>
        <w:t>西藏那曲班戈县第二（中石化）小学2025</w:t>
      </w:r>
      <w:r>
        <w:rPr>
          <w:rFonts w:hint="eastAsia" w:ascii="方正小标宋简体" w:hAnsi="仿宋" w:eastAsia="方正小标宋简体"/>
          <w:sz w:val="32"/>
          <w:szCs w:val="32"/>
        </w:rPr>
        <w:t>年度部门（单位）预算数据分析</w:t>
      </w:r>
    </w:p>
    <w:p>
      <w:pPr>
        <w:jc w:val="center"/>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一、部门（单位）收支总体情况</w:t>
      </w:r>
    </w:p>
    <w:p>
      <w:pPr>
        <w:ind w:firstLine="640" w:firstLineChars="200"/>
        <w:rPr>
          <w:rFonts w:ascii="仿宋" w:hAnsi="仿宋" w:eastAsia="仿宋"/>
          <w:sz w:val="32"/>
          <w:szCs w:val="32"/>
        </w:rPr>
      </w:pPr>
      <w:r>
        <w:rPr>
          <w:rFonts w:hint="eastAsia" w:ascii="仿宋" w:hAnsi="仿宋" w:eastAsia="仿宋"/>
          <w:sz w:val="32"/>
          <w:szCs w:val="32"/>
        </w:rPr>
        <w:t>例如：收支总预算</w:t>
      </w:r>
      <w:r>
        <w:rPr>
          <w:rFonts w:hint="eastAsia" w:ascii="仿宋" w:hAnsi="仿宋" w:eastAsia="仿宋"/>
          <w:sz w:val="32"/>
          <w:szCs w:val="32"/>
          <w:u w:val="single"/>
          <w:lang w:val="en-US" w:eastAsia="zh-CN"/>
        </w:rPr>
        <w:t>9989.51</w:t>
      </w:r>
      <w:r>
        <w:rPr>
          <w:rFonts w:hint="eastAsia" w:ascii="仿宋" w:hAnsi="仿宋" w:eastAsia="仿宋"/>
          <w:sz w:val="32"/>
          <w:szCs w:val="32"/>
          <w:u w:val="single"/>
        </w:rPr>
        <w:t xml:space="preserve"> </w:t>
      </w:r>
      <w:r>
        <w:rPr>
          <w:rFonts w:hint="eastAsia" w:ascii="仿宋" w:hAnsi="仿宋" w:eastAsia="仿宋"/>
          <w:sz w:val="32"/>
          <w:szCs w:val="32"/>
        </w:rPr>
        <w:t>万元。收入包括：一般公共预算拨款收入、政府性</w:t>
      </w:r>
      <w:r>
        <w:rPr>
          <w:rFonts w:ascii="仿宋" w:hAnsi="仿宋" w:eastAsia="仿宋"/>
          <w:sz w:val="32"/>
          <w:szCs w:val="32"/>
        </w:rPr>
        <w:t>基金拨款收入、国资预算拨款收入、专户资金收入、</w:t>
      </w:r>
      <w:r>
        <w:rPr>
          <w:rFonts w:hint="eastAsia" w:ascii="仿宋" w:hAnsi="仿宋" w:eastAsia="仿宋"/>
          <w:sz w:val="32"/>
          <w:szCs w:val="32"/>
        </w:rPr>
        <w:t>事业收入、事业单位经营收入、其他收入、使用非财政拨款结余、上年结转；支出包括：一般公共服务支出、外交支出、教育支出、科学技术支出、文化旅游体育与传媒支出、社会保障和就业支出、卫生健康支出、住房保障支出……。</w:t>
      </w:r>
    </w:p>
    <w:p>
      <w:pPr>
        <w:ind w:firstLine="640" w:firstLineChars="200"/>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西藏那曲班戈县第二（中石化）小学</w:t>
      </w:r>
      <w:r>
        <w:rPr>
          <w:rFonts w:hint="eastAsia" w:ascii="黑体" w:hAnsi="黑体" w:eastAsia="黑体"/>
          <w:sz w:val="32"/>
          <w:szCs w:val="32"/>
        </w:rPr>
        <w:t>收入总体情况</w:t>
      </w:r>
    </w:p>
    <w:p>
      <w:pPr>
        <w:ind w:firstLine="640" w:firstLineChars="200"/>
        <w:rPr>
          <w:rFonts w:ascii="仿宋" w:hAnsi="仿宋" w:eastAsia="仿宋"/>
          <w:sz w:val="32"/>
          <w:szCs w:val="32"/>
        </w:rPr>
      </w:pPr>
      <w:r>
        <w:rPr>
          <w:rFonts w:hint="eastAsia" w:ascii="仿宋" w:hAnsi="仿宋" w:eastAsia="仿宋"/>
          <w:sz w:val="32"/>
          <w:szCs w:val="32"/>
        </w:rPr>
        <w:t>例如：收入预算总量</w:t>
      </w:r>
      <w:r>
        <w:rPr>
          <w:rFonts w:hint="eastAsia" w:ascii="仿宋" w:hAnsi="仿宋" w:eastAsia="仿宋"/>
          <w:sz w:val="32"/>
          <w:szCs w:val="32"/>
          <w:u w:val="single"/>
        </w:rPr>
        <w:t xml:space="preserve"> 4977.1 </w:t>
      </w:r>
      <w:r>
        <w:rPr>
          <w:rFonts w:hint="eastAsia" w:ascii="仿宋" w:hAnsi="仿宋" w:eastAsia="仿宋"/>
          <w:sz w:val="32"/>
          <w:szCs w:val="32"/>
        </w:rPr>
        <w:t>万元，同比增加</w:t>
      </w:r>
      <w:r>
        <w:rPr>
          <w:rFonts w:hint="eastAsia" w:ascii="仿宋" w:hAnsi="仿宋" w:eastAsia="仿宋"/>
          <w:sz w:val="32"/>
          <w:szCs w:val="32"/>
          <w:lang w:val="en-US" w:eastAsia="zh-CN"/>
        </w:rPr>
        <w:t>1030.95</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人员类经费增加</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。其中：上年结转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35.31</w:t>
      </w:r>
      <w:r>
        <w:rPr>
          <w:rFonts w:hint="eastAsia" w:ascii="仿宋" w:hAnsi="仿宋" w:eastAsia="仿宋"/>
          <w:sz w:val="32"/>
          <w:szCs w:val="32"/>
          <w:u w:val="single"/>
        </w:rPr>
        <w:t xml:space="preserve"> </w:t>
      </w:r>
      <w:r>
        <w:rPr>
          <w:rFonts w:hint="eastAsia" w:ascii="仿宋" w:hAnsi="仿宋" w:eastAsia="仿宋"/>
          <w:sz w:val="32"/>
          <w:szCs w:val="32"/>
        </w:rPr>
        <w:t>万元， 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0.70</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2025</w:t>
      </w:r>
      <w:r>
        <w:rPr>
          <w:rFonts w:hint="eastAsia" w:ascii="仿宋" w:hAnsi="仿宋" w:eastAsia="仿宋"/>
          <w:sz w:val="32"/>
          <w:szCs w:val="32"/>
        </w:rPr>
        <w:t>年一般公共预算拨款收入</w:t>
      </w:r>
      <w:r>
        <w:rPr>
          <w:rFonts w:hint="eastAsia" w:ascii="仿宋" w:hAnsi="仿宋" w:eastAsia="仿宋"/>
          <w:sz w:val="32"/>
          <w:szCs w:val="32"/>
          <w:u w:val="single"/>
        </w:rPr>
        <w:t xml:space="preserve">  4,977.10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100</w:t>
      </w:r>
      <w:r>
        <w:rPr>
          <w:rFonts w:hint="eastAsia" w:ascii="仿宋" w:hAnsi="仿宋" w:eastAsia="仿宋"/>
          <w:sz w:val="32"/>
          <w:szCs w:val="32"/>
          <w:u w:val="single"/>
        </w:rPr>
        <w:t xml:space="preserve">  </w:t>
      </w:r>
      <w:r>
        <w:rPr>
          <w:rFonts w:hint="eastAsia" w:ascii="仿宋" w:hAnsi="仿宋" w:eastAsia="仿宋"/>
          <w:sz w:val="32"/>
          <w:szCs w:val="32"/>
        </w:rPr>
        <w:t xml:space="preserve"> %；</w:t>
      </w:r>
      <w:r>
        <w:rPr>
          <w:rFonts w:hint="eastAsia" w:ascii="仿宋" w:hAnsi="仿宋" w:eastAsia="仿宋"/>
          <w:sz w:val="32"/>
          <w:szCs w:val="32"/>
          <w:lang w:eastAsia="zh-CN"/>
        </w:rPr>
        <w:t>2025</w:t>
      </w:r>
      <w:r>
        <w:rPr>
          <w:rFonts w:hint="eastAsia" w:ascii="仿宋" w:hAnsi="仿宋" w:eastAsia="仿宋"/>
          <w:sz w:val="32"/>
          <w:szCs w:val="32"/>
        </w:rPr>
        <w:t>年政府性基金</w:t>
      </w:r>
      <w:r>
        <w:rPr>
          <w:rFonts w:ascii="仿宋" w:hAnsi="仿宋" w:eastAsia="仿宋"/>
          <w:sz w:val="32"/>
          <w:szCs w:val="32"/>
        </w:rPr>
        <w:t>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w:t>
      </w:r>
      <w:r>
        <w:rPr>
          <w:rFonts w:hint="eastAsia" w:ascii="仿宋" w:hAnsi="仿宋" w:eastAsia="仿宋"/>
          <w:sz w:val="32"/>
          <w:szCs w:val="32"/>
          <w:lang w:eastAsia="zh-CN"/>
        </w:rPr>
        <w:t>2025</w:t>
      </w:r>
      <w:r>
        <w:rPr>
          <w:rFonts w:hint="eastAsia" w:ascii="仿宋" w:hAnsi="仿宋" w:eastAsia="仿宋"/>
          <w:sz w:val="32"/>
          <w:szCs w:val="32"/>
        </w:rPr>
        <w:t>年国有资本</w:t>
      </w:r>
      <w:r>
        <w:rPr>
          <w:rFonts w:ascii="仿宋" w:hAnsi="仿宋" w:eastAsia="仿宋"/>
          <w:sz w:val="32"/>
          <w:szCs w:val="32"/>
        </w:rPr>
        <w:t>经营预算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pPr>
        <w:ind w:firstLine="640" w:firstLineChars="200"/>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eastAsia="zh-CN"/>
        </w:rPr>
        <w:t>西藏那曲班戈县第二（中石化）小学</w:t>
      </w:r>
      <w:r>
        <w:rPr>
          <w:rFonts w:hint="eastAsia" w:ascii="黑体" w:hAnsi="黑体" w:eastAsia="黑体"/>
          <w:sz w:val="32"/>
          <w:szCs w:val="32"/>
        </w:rPr>
        <w:t>支出总体情况</w:t>
      </w:r>
    </w:p>
    <w:p>
      <w:pPr>
        <w:ind w:firstLine="640" w:firstLineChars="200"/>
        <w:rPr>
          <w:rFonts w:ascii="仿宋" w:hAnsi="仿宋" w:eastAsia="仿宋"/>
          <w:sz w:val="32"/>
          <w:szCs w:val="32"/>
        </w:rPr>
      </w:pPr>
      <w:r>
        <w:rPr>
          <w:rFonts w:hint="eastAsia" w:ascii="仿宋" w:hAnsi="仿宋" w:eastAsia="仿宋"/>
          <w:sz w:val="32"/>
          <w:szCs w:val="32"/>
        </w:rPr>
        <w:t>例如：支出预算总量</w:t>
      </w:r>
      <w:r>
        <w:rPr>
          <w:rFonts w:hint="eastAsia" w:ascii="仿宋" w:hAnsi="仿宋" w:eastAsia="仿宋"/>
          <w:sz w:val="32"/>
          <w:szCs w:val="32"/>
          <w:u w:val="single"/>
        </w:rPr>
        <w:t xml:space="preserve"> 5012.41  </w:t>
      </w:r>
      <w:r>
        <w:rPr>
          <w:rFonts w:hint="eastAsia" w:ascii="仿宋" w:hAnsi="仿宋" w:eastAsia="仿宋"/>
          <w:sz w:val="32"/>
          <w:szCs w:val="32"/>
        </w:rPr>
        <w:t>万元，同比增加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1066.26</w:t>
      </w:r>
      <w:r>
        <w:rPr>
          <w:rFonts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eastAsia="zh-CN"/>
        </w:rPr>
        <w:t>人员类经费增加</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。其中：基本支出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%；项目支出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%；事业单位经营支出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pPr>
        <w:ind w:firstLine="640" w:firstLineChars="200"/>
        <w:jc w:val="left"/>
        <w:rPr>
          <w:rFonts w:ascii="仿宋" w:hAnsi="仿宋" w:eastAsia="仿宋"/>
          <w:sz w:val="32"/>
          <w:szCs w:val="32"/>
        </w:rPr>
      </w:pPr>
      <w:r>
        <w:rPr>
          <w:rFonts w:hint="eastAsia" w:ascii="仿宋" w:hAnsi="仿宋" w:eastAsia="仿宋"/>
          <w:sz w:val="32"/>
          <w:szCs w:val="32"/>
        </w:rPr>
        <w:t>例如：财政拨款收支总预算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9989.51</w:t>
      </w:r>
      <w:r>
        <w:rPr>
          <w:rFonts w:hint="eastAsia" w:ascii="仿宋" w:hAnsi="仿宋" w:eastAsia="仿宋"/>
          <w:sz w:val="32"/>
          <w:szCs w:val="32"/>
          <w:u w:val="single"/>
        </w:rPr>
        <w:t xml:space="preserve"> </w:t>
      </w:r>
      <w:r>
        <w:rPr>
          <w:rFonts w:hint="eastAsia" w:ascii="仿宋" w:hAnsi="仿宋" w:eastAsia="仿宋"/>
          <w:sz w:val="32"/>
          <w:szCs w:val="32"/>
        </w:rPr>
        <w:t>万元，同比增加</w:t>
      </w:r>
      <w:r>
        <w:rPr>
          <w:rFonts w:hint="eastAsia" w:ascii="仿宋" w:hAnsi="仿宋" w:eastAsia="仿宋"/>
          <w:sz w:val="32"/>
          <w:szCs w:val="32"/>
          <w:lang w:val="en-US" w:eastAsia="zh-CN"/>
        </w:rPr>
        <w:t>2097.21</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eastAsia="zh-CN"/>
        </w:rPr>
        <w:t>人员类经费增加</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。收入包括：一般公共预算当年拨款收入</w:t>
      </w:r>
      <w:r>
        <w:rPr>
          <w:rFonts w:hint="eastAsia" w:ascii="仿宋" w:hAnsi="仿宋" w:eastAsia="仿宋"/>
          <w:sz w:val="32"/>
          <w:szCs w:val="32"/>
          <w:u w:val="single"/>
        </w:rPr>
        <w:t xml:space="preserve"> 4977.1 </w:t>
      </w:r>
      <w:r>
        <w:rPr>
          <w:rFonts w:hint="eastAsia" w:ascii="仿宋" w:hAnsi="仿宋" w:eastAsia="仿宋"/>
          <w:sz w:val="32"/>
          <w:szCs w:val="32"/>
        </w:rPr>
        <w:t>万元、政府性</w:t>
      </w:r>
      <w:r>
        <w:rPr>
          <w:rFonts w:ascii="仿宋" w:hAnsi="仿宋" w:eastAsia="仿宋"/>
          <w:sz w:val="32"/>
          <w:szCs w:val="32"/>
        </w:rPr>
        <w:t>基金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万元、国有</w:t>
      </w:r>
      <w:r>
        <w:rPr>
          <w:rFonts w:ascii="仿宋" w:hAnsi="仿宋" w:eastAsia="仿宋"/>
          <w:sz w:val="32"/>
          <w:szCs w:val="32"/>
        </w:rPr>
        <w:t>资本经营预算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35.31</w:t>
      </w:r>
      <w:r>
        <w:rPr>
          <w:rFonts w:hint="eastAsia" w:ascii="仿宋" w:hAnsi="仿宋" w:eastAsia="仿宋"/>
          <w:sz w:val="32"/>
          <w:szCs w:val="32"/>
          <w:u w:val="single"/>
        </w:rPr>
        <w:t xml:space="preserve"> </w:t>
      </w:r>
      <w:r>
        <w:rPr>
          <w:rFonts w:hint="eastAsia" w:ascii="仿宋" w:hAnsi="仿宋" w:eastAsia="仿宋"/>
          <w:sz w:val="32"/>
          <w:szCs w:val="32"/>
        </w:rPr>
        <w:t>万元；支出包括：一般公共服务支出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万元、外交支出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万元、教育支出</w:t>
      </w:r>
      <w:r>
        <w:rPr>
          <w:rFonts w:hint="eastAsia" w:ascii="仿宋" w:hAnsi="仿宋" w:eastAsia="仿宋"/>
          <w:sz w:val="32"/>
          <w:szCs w:val="32"/>
          <w:u w:val="single"/>
        </w:rPr>
        <w:t xml:space="preserve">  4,939.54 </w:t>
      </w:r>
      <w:r>
        <w:rPr>
          <w:rFonts w:hint="eastAsia" w:ascii="仿宋" w:hAnsi="仿宋" w:eastAsia="仿宋"/>
          <w:sz w:val="32"/>
          <w:szCs w:val="32"/>
        </w:rPr>
        <w:t>万元、科学技术支出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万元、文化旅游体育与传媒支出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万元、社会保障和就业支出</w:t>
      </w:r>
      <w:r>
        <w:rPr>
          <w:rFonts w:hint="eastAsia" w:ascii="仿宋" w:hAnsi="仿宋" w:eastAsia="仿宋"/>
          <w:sz w:val="32"/>
          <w:szCs w:val="32"/>
          <w:u w:val="single"/>
        </w:rPr>
        <w:t xml:space="preserve"> 1.14 </w:t>
      </w:r>
      <w:r>
        <w:rPr>
          <w:rFonts w:hint="eastAsia" w:ascii="仿宋" w:hAnsi="仿宋" w:eastAsia="仿宋"/>
          <w:sz w:val="32"/>
          <w:szCs w:val="32"/>
        </w:rPr>
        <w:t>万元、卫生健康支出</w:t>
      </w:r>
      <w:r>
        <w:rPr>
          <w:rFonts w:hint="eastAsia" w:ascii="仿宋" w:hAnsi="仿宋" w:eastAsia="仿宋"/>
          <w:sz w:val="32"/>
          <w:szCs w:val="32"/>
          <w:u w:val="single"/>
        </w:rPr>
        <w:t xml:space="preserve">  20.95 </w:t>
      </w:r>
      <w:r>
        <w:rPr>
          <w:rFonts w:hint="eastAsia" w:ascii="仿宋" w:hAnsi="仿宋" w:eastAsia="仿宋"/>
          <w:sz w:val="32"/>
          <w:szCs w:val="32"/>
        </w:rPr>
        <w:t>万元、住房保障支出</w:t>
      </w:r>
      <w:r>
        <w:rPr>
          <w:rFonts w:hint="eastAsia" w:ascii="仿宋" w:hAnsi="仿宋" w:eastAsia="仿宋"/>
          <w:sz w:val="32"/>
          <w:szCs w:val="32"/>
          <w:u w:val="single"/>
        </w:rPr>
        <w:t xml:space="preserve"> 50.78 </w:t>
      </w:r>
      <w:r>
        <w:rPr>
          <w:rFonts w:hint="eastAsia" w:ascii="仿宋" w:hAnsi="仿宋" w:eastAsia="仿宋"/>
          <w:sz w:val="32"/>
          <w:szCs w:val="32"/>
        </w:rPr>
        <w:t>万元。</w:t>
      </w:r>
    </w:p>
    <w:p>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rPr>
        <w:t>例如：一般公共预算当年拨款</w:t>
      </w:r>
      <w:r>
        <w:rPr>
          <w:rFonts w:hint="eastAsia" w:ascii="仿宋" w:hAnsi="仿宋" w:eastAsia="仿宋"/>
          <w:sz w:val="32"/>
          <w:szCs w:val="32"/>
          <w:u w:val="single"/>
        </w:rPr>
        <w:t xml:space="preserve"> 4977.1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 xml:space="preserve"> 年执行数或</w:t>
      </w:r>
      <w:r>
        <w:rPr>
          <w:rFonts w:ascii="仿宋" w:hAnsi="仿宋" w:eastAsia="仿宋"/>
          <w:sz w:val="32"/>
          <w:szCs w:val="32"/>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177.98</w:t>
      </w:r>
      <w:r>
        <w:rPr>
          <w:rFonts w:hint="eastAsia" w:ascii="仿宋" w:hAnsi="仿宋" w:eastAsia="仿宋"/>
          <w:sz w:val="32"/>
          <w:szCs w:val="32"/>
          <w:u w:val="single"/>
        </w:rPr>
        <w:t xml:space="preserve"> </w:t>
      </w:r>
      <w:r>
        <w:rPr>
          <w:rFonts w:hint="eastAsia" w:ascii="仿宋" w:hAnsi="仿宋" w:eastAsia="仿宋"/>
          <w:sz w:val="32"/>
          <w:szCs w:val="32"/>
        </w:rPr>
        <w:t>万元，主要原因：</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eastAsia="zh-CN"/>
        </w:rPr>
        <w:t>人员类经费增加</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例如：：一般公共预算当年拨款</w:t>
      </w:r>
      <w:r>
        <w:rPr>
          <w:rFonts w:hint="eastAsia" w:ascii="仿宋" w:hAnsi="仿宋" w:eastAsia="仿宋"/>
          <w:sz w:val="32"/>
          <w:szCs w:val="32"/>
          <w:u w:val="single"/>
        </w:rPr>
        <w:t xml:space="preserve">  4977.1 </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%；教育支出</w:t>
      </w:r>
      <w:r>
        <w:rPr>
          <w:rFonts w:hint="eastAsia" w:ascii="仿宋" w:hAnsi="仿宋" w:eastAsia="仿宋"/>
          <w:sz w:val="32"/>
          <w:szCs w:val="32"/>
          <w:u w:val="single"/>
        </w:rPr>
        <w:t xml:space="preserve"> 4939.54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99.2</w:t>
      </w:r>
      <w:r>
        <w:rPr>
          <w:rFonts w:hint="eastAsia" w:ascii="仿宋" w:hAnsi="仿宋" w:eastAsia="仿宋"/>
          <w:sz w:val="32"/>
          <w:szCs w:val="32"/>
          <w:u w:val="single"/>
        </w:rPr>
        <w:t xml:space="preserve">  </w:t>
      </w:r>
      <w:r>
        <w:rPr>
          <w:rFonts w:hint="eastAsia" w:ascii="仿宋" w:hAnsi="仿宋" w:eastAsia="仿宋"/>
          <w:sz w:val="32"/>
          <w:szCs w:val="32"/>
        </w:rPr>
        <w:t>%； 文化旅游体育与传媒支出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 社会保障和就业支出</w:t>
      </w:r>
      <w:r>
        <w:rPr>
          <w:rFonts w:hint="eastAsia" w:ascii="仿宋" w:hAnsi="仿宋" w:eastAsia="仿宋"/>
          <w:sz w:val="32"/>
          <w:szCs w:val="32"/>
          <w:u w:val="single"/>
          <w:lang w:val="en-US" w:eastAsia="zh-CN"/>
        </w:rPr>
        <w:t>1.14</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0.02</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val="en-US" w:eastAsia="zh-CN"/>
        </w:rPr>
        <w:t>；卫生健康支出</w:t>
      </w:r>
      <w:r>
        <w:rPr>
          <w:rFonts w:hint="eastAsia" w:ascii="仿宋" w:hAnsi="仿宋" w:eastAsia="仿宋"/>
          <w:sz w:val="32"/>
          <w:szCs w:val="32"/>
          <w:u w:val="single"/>
          <w:lang w:val="en-US" w:eastAsia="zh-CN"/>
        </w:rPr>
        <w:t>20.95</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0.42</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 住房保障支出</w:t>
      </w:r>
      <w:r>
        <w:rPr>
          <w:rFonts w:hint="eastAsia" w:ascii="仿宋" w:hAnsi="仿宋" w:eastAsia="仿宋"/>
          <w:sz w:val="32"/>
          <w:szCs w:val="32"/>
          <w:u w:val="single"/>
          <w:lang w:val="en-US" w:eastAsia="zh-CN"/>
        </w:rPr>
        <w:t>50.78</w:t>
      </w:r>
      <w:r>
        <w:rPr>
          <w:rFonts w:hint="eastAsia" w:ascii="仿宋" w:hAnsi="仿宋" w:eastAsia="仿宋"/>
          <w:sz w:val="32"/>
          <w:szCs w:val="32"/>
        </w:rPr>
        <w:t>万元，占</w:t>
      </w:r>
      <w:r>
        <w:rPr>
          <w:rFonts w:hint="eastAsia" w:ascii="仿宋" w:hAnsi="仿宋" w:eastAsia="仿宋"/>
          <w:sz w:val="32"/>
          <w:szCs w:val="32"/>
          <w:u w:val="single"/>
          <w:lang w:val="en-US" w:eastAsia="zh-CN"/>
        </w:rPr>
        <w:t>1.02</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（单位）一般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ind w:firstLine="640" w:firstLineChars="200"/>
        <w:rPr>
          <w:rFonts w:ascii="仿宋" w:hAnsi="仿宋" w:eastAsia="仿宋"/>
          <w:sz w:val="32"/>
          <w:szCs w:val="32"/>
        </w:rPr>
      </w:pPr>
      <w:r>
        <w:rPr>
          <w:rFonts w:hint="eastAsia" w:ascii="仿宋" w:hAnsi="仿宋" w:eastAsia="仿宋"/>
          <w:sz w:val="32"/>
          <w:szCs w:val="32"/>
        </w:rPr>
        <w:t>例如：1.一般公共服务支出（类）财政事务（款）行政运行（项）预算数为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年执行数减少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万元，下降</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pPr>
        <w:ind w:firstLine="640" w:firstLineChars="200"/>
        <w:rPr>
          <w:rFonts w:ascii="仿宋" w:hAnsi="仿宋" w:eastAsia="仿宋"/>
          <w:sz w:val="32"/>
          <w:szCs w:val="32"/>
        </w:rPr>
      </w:pPr>
      <w:r>
        <w:rPr>
          <w:rFonts w:hint="eastAsia" w:ascii="仿宋" w:hAnsi="仿宋" w:eastAsia="仿宋"/>
          <w:sz w:val="32"/>
          <w:szCs w:val="32"/>
        </w:rPr>
        <w:t>例如：</w:t>
      </w:r>
      <w:r>
        <w:rPr>
          <w:rFonts w:hint="eastAsia" w:ascii="仿宋" w:hAnsi="仿宋" w:eastAsia="仿宋"/>
          <w:sz w:val="32"/>
          <w:szCs w:val="32"/>
          <w:lang w:eastAsia="zh-CN"/>
        </w:rPr>
        <w:t>2025</w:t>
      </w:r>
      <w:r>
        <w:rPr>
          <w:rFonts w:hint="eastAsia" w:ascii="仿宋" w:hAnsi="仿宋" w:eastAsia="仿宋"/>
          <w:sz w:val="32"/>
          <w:szCs w:val="32"/>
        </w:rPr>
        <w:t>年一般公共预算基本支出</w:t>
      </w:r>
      <w:r>
        <w:rPr>
          <w:rFonts w:hint="eastAsia" w:ascii="仿宋" w:hAnsi="仿宋" w:eastAsia="仿宋"/>
          <w:sz w:val="32"/>
          <w:szCs w:val="32"/>
          <w:u w:val="single"/>
        </w:rPr>
        <w:t xml:space="preserve"> 5,011.69  </w:t>
      </w:r>
      <w:r>
        <w:rPr>
          <w:rFonts w:hint="eastAsia" w:ascii="仿宋" w:hAnsi="仿宋" w:eastAsia="仿宋"/>
          <w:sz w:val="32"/>
          <w:szCs w:val="32"/>
        </w:rPr>
        <w:t>万元，其中：</w:t>
      </w:r>
    </w:p>
    <w:p>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single"/>
        </w:rPr>
        <w:t xml:space="preserve"> 4,710.01  </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rPr>
        <w:t xml:space="preserve"> 301.68 </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r>
        <w:rPr>
          <w:rFonts w:ascii="仿宋" w:hAnsi="仿宋" w:eastAsia="仿宋"/>
          <w:sz w:val="32"/>
          <w:szCs w:val="32"/>
        </w:rPr>
        <w:t>车辆保险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（教育</w:t>
      </w:r>
      <w:r>
        <w:rPr>
          <w:rFonts w:ascii="仿宋" w:hAnsi="仿宋" w:eastAsia="仿宋"/>
          <w:sz w:val="32"/>
          <w:szCs w:val="32"/>
        </w:rPr>
        <w:t>部门</w:t>
      </w:r>
      <w:r>
        <w:rPr>
          <w:rFonts w:hint="eastAsia" w:ascii="仿宋" w:hAnsi="仿宋" w:eastAsia="仿宋"/>
          <w:sz w:val="32"/>
          <w:szCs w:val="32"/>
        </w:rPr>
        <w:t>根据预算安排情况</w:t>
      </w:r>
      <w:r>
        <w:rPr>
          <w:rFonts w:ascii="仿宋" w:hAnsi="仿宋" w:eastAsia="仿宋"/>
          <w:sz w:val="32"/>
          <w:szCs w:val="32"/>
        </w:rPr>
        <w:t>填</w:t>
      </w:r>
      <w:r>
        <w:rPr>
          <w:rFonts w:hint="eastAsia" w:ascii="仿宋" w:hAnsi="仿宋" w:eastAsia="仿宋"/>
          <w:sz w:val="32"/>
          <w:szCs w:val="32"/>
        </w:rPr>
        <w:t>列本部门</w:t>
      </w:r>
      <w:r>
        <w:rPr>
          <w:rFonts w:ascii="仿宋" w:hAnsi="仿宋" w:eastAsia="仿宋"/>
          <w:sz w:val="32"/>
          <w:szCs w:val="32"/>
        </w:rPr>
        <w:t>涉及的免费教育经费</w:t>
      </w:r>
      <w:r>
        <w:rPr>
          <w:rFonts w:hint="eastAsia" w:ascii="仿宋" w:hAnsi="仿宋" w:eastAsia="仿宋"/>
          <w:sz w:val="32"/>
          <w:szCs w:val="32"/>
        </w:rPr>
        <w:t>、</w:t>
      </w:r>
      <w:r>
        <w:rPr>
          <w:rFonts w:ascii="仿宋" w:hAnsi="仿宋" w:eastAsia="仿宋"/>
          <w:sz w:val="32"/>
          <w:szCs w:val="32"/>
        </w:rPr>
        <w:t>生均公用经费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的具体</w:t>
      </w:r>
      <w:r>
        <w:rPr>
          <w:rFonts w:ascii="仿宋" w:hAnsi="仿宋" w:eastAsia="仿宋"/>
          <w:sz w:val="32"/>
          <w:szCs w:val="32"/>
        </w:rPr>
        <w:t>科目。</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rPr>
        <w:t>例如：</w:t>
      </w:r>
      <w:r>
        <w:rPr>
          <w:rFonts w:hint="eastAsia" w:ascii="仿宋" w:hAnsi="仿宋" w:eastAsia="仿宋"/>
          <w:sz w:val="32"/>
          <w:szCs w:val="32"/>
          <w:lang w:eastAsia="zh-CN"/>
        </w:rPr>
        <w:t>2025</w:t>
      </w:r>
      <w:r>
        <w:rPr>
          <w:rFonts w:hint="eastAsia" w:ascii="仿宋" w:hAnsi="仿宋" w:eastAsia="仿宋"/>
          <w:sz w:val="32"/>
          <w:szCs w:val="32"/>
        </w:rPr>
        <w:t>年“三公”经费预算数为</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万元，公务用车购置</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万元</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万元。“三公”经费预算比</w:t>
      </w:r>
      <w:r>
        <w:rPr>
          <w:rFonts w:hint="eastAsia" w:ascii="仿宋" w:hAnsi="仿宋" w:eastAsia="仿宋"/>
          <w:sz w:val="32"/>
          <w:szCs w:val="32"/>
          <w:lang w:eastAsia="zh-CN"/>
        </w:rPr>
        <w:t>2024</w:t>
      </w:r>
      <w:r>
        <w:rPr>
          <w:rFonts w:hint="eastAsia" w:ascii="仿宋" w:hAnsi="仿宋" w:eastAsia="仿宋"/>
          <w:sz w:val="32"/>
          <w:szCs w:val="32"/>
        </w:rPr>
        <w:t>年减少（增加）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万元，压缩（增长）</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%，主要原因是</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eastAsia="zh-CN"/>
        </w:rPr>
        <w:t>无</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年因公出国（境）</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个团组、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量，国内公务接待</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批次、</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w:t>
      </w:r>
    </w:p>
    <w:p>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pPr>
        <w:ind w:firstLine="640" w:firstLineChars="200"/>
        <w:rPr>
          <w:rFonts w:ascii="仿宋" w:hAnsi="仿宋" w:eastAsia="仿宋"/>
          <w:sz w:val="32"/>
          <w:szCs w:val="32"/>
        </w:rPr>
      </w:pPr>
      <w:r>
        <w:rPr>
          <w:rFonts w:hint="eastAsia" w:ascii="仿宋" w:hAnsi="仿宋" w:eastAsia="仿宋"/>
          <w:sz w:val="32"/>
          <w:szCs w:val="32"/>
        </w:rPr>
        <w:t>例如</w:t>
      </w:r>
      <w:r>
        <w:rPr>
          <w:rFonts w:ascii="仿宋" w:hAnsi="仿宋" w:eastAsia="仿宋"/>
          <w:sz w:val="32"/>
          <w:szCs w:val="32"/>
        </w:rPr>
        <w:t>：</w:t>
      </w:r>
      <w:r>
        <w:rPr>
          <w:rFonts w:hint="eastAsia" w:ascii="仿宋" w:hAnsi="仿宋" w:eastAsia="仿宋"/>
          <w:sz w:val="32"/>
          <w:szCs w:val="32"/>
        </w:rPr>
        <w:t>政府性基金预算当年拨款</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万元，主要原因：</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eastAsia="zh-CN"/>
        </w:rPr>
        <w:t>无</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rPr>
        <w:t>。</w:t>
      </w:r>
    </w:p>
    <w:p>
      <w:pPr>
        <w:ind w:firstLine="640" w:firstLineChars="200"/>
        <w:rPr>
          <w:rFonts w:ascii="仿宋" w:hAnsi="仿宋" w:eastAsia="仿宋"/>
          <w:sz w:val="32"/>
          <w:szCs w:val="32"/>
        </w:rPr>
      </w:pPr>
      <w:r>
        <w:rPr>
          <w:rFonts w:hint="eastAsia" w:ascii="仿宋" w:hAnsi="仿宋" w:eastAsia="仿宋"/>
          <w:sz w:val="32"/>
          <w:szCs w:val="32"/>
        </w:rPr>
        <w:t>（没有数据的表格应当列出空表并说明“我部门（单位）</w:t>
      </w:r>
      <w:r>
        <w:rPr>
          <w:rFonts w:hint="eastAsia" w:ascii="仿宋" w:hAnsi="仿宋" w:eastAsia="仿宋"/>
          <w:sz w:val="32"/>
          <w:szCs w:val="32"/>
          <w:lang w:eastAsia="zh-CN"/>
        </w:rPr>
        <w:t>2025</w:t>
      </w:r>
      <w:r>
        <w:rPr>
          <w:rFonts w:hint="eastAsia" w:ascii="仿宋" w:hAnsi="仿宋" w:eastAsia="仿宋"/>
          <w:sz w:val="32"/>
          <w:szCs w:val="32"/>
        </w:rPr>
        <w:t>年度没有政府性基金安排的支出</w:t>
      </w:r>
      <w:r>
        <w:rPr>
          <w:rFonts w:ascii="仿宋" w:hAnsi="仿宋" w:eastAsia="仿宋"/>
          <w:sz w:val="32"/>
          <w:szCs w:val="32"/>
        </w:rPr>
        <w:t>”</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九、政府性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rPr>
        <w:t>例如：“三公”经费预算数为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万元，公务用车购置及运行费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万元。“三公”经费预算比</w:t>
      </w:r>
      <w:r>
        <w:rPr>
          <w:rFonts w:hint="eastAsia" w:ascii="仿宋" w:hAnsi="仿宋" w:eastAsia="仿宋"/>
          <w:sz w:val="32"/>
          <w:szCs w:val="32"/>
          <w:lang w:eastAsia="zh-CN"/>
        </w:rPr>
        <w:t>2024</w:t>
      </w:r>
      <w:r>
        <w:rPr>
          <w:rFonts w:hint="eastAsia" w:ascii="仿宋" w:hAnsi="仿宋" w:eastAsia="仿宋"/>
          <w:sz w:val="32"/>
          <w:szCs w:val="32"/>
        </w:rPr>
        <w:t>年减少（增加）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万元，压缩（增长）</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%，主要原因是</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无</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因公出国（境）</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个团组、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量，国内公务接待</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批次、</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w:t>
      </w:r>
    </w:p>
    <w:p>
      <w:pPr>
        <w:ind w:firstLine="640" w:firstLineChars="20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例如</w:t>
      </w:r>
      <w:r>
        <w:rPr>
          <w:rFonts w:ascii="仿宋" w:hAnsi="仿宋" w:eastAsia="仿宋"/>
          <w:sz w:val="32"/>
          <w:szCs w:val="32"/>
        </w:rPr>
        <w:t>：</w:t>
      </w:r>
      <w:r>
        <w:rPr>
          <w:rFonts w:hint="eastAsia" w:ascii="仿宋" w:hAnsi="仿宋" w:eastAsia="仿宋"/>
          <w:sz w:val="32"/>
          <w:szCs w:val="32"/>
          <w:lang w:eastAsia="zh-CN"/>
        </w:rPr>
        <w:t>2025</w:t>
      </w:r>
      <w:r>
        <w:rPr>
          <w:rFonts w:hint="eastAsia" w:ascii="仿宋" w:hAnsi="仿宋" w:eastAsia="仿宋"/>
          <w:sz w:val="32"/>
          <w:szCs w:val="32"/>
        </w:rPr>
        <w:t>年</w:t>
      </w:r>
      <w:r>
        <w:rPr>
          <w:rFonts w:hint="eastAsia" w:ascii="仿宋" w:hAnsi="仿宋" w:eastAsia="仿宋"/>
          <w:sz w:val="32"/>
          <w:szCs w:val="32"/>
          <w:lang w:eastAsia="zh-CN"/>
        </w:rPr>
        <w:t>西藏那曲班戈县第二（中石化）小学</w:t>
      </w:r>
      <w:r>
        <w:rPr>
          <w:rFonts w:hint="eastAsia" w:ascii="仿宋" w:hAnsi="仿宋" w:eastAsia="仿宋"/>
          <w:sz w:val="32"/>
          <w:szCs w:val="32"/>
        </w:rPr>
        <w:t xml:space="preserve"> </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家行政单位以及……中心等</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家参公管理事业单位的机关运行经费财政拨款预算</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年预算减少（增加</w:t>
      </w:r>
      <w:r>
        <w:rPr>
          <w:rFonts w:ascii="仿宋" w:hAnsi="仿宋" w:eastAsia="仿宋"/>
          <w:sz w:val="32"/>
          <w:szCs w:val="32"/>
        </w:rPr>
        <w:t>）</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万元，降低（增长</w:t>
      </w:r>
      <w:r>
        <w:rPr>
          <w:rFonts w:ascii="仿宋" w:hAnsi="仿宋" w:eastAsia="仿宋"/>
          <w:sz w:val="32"/>
          <w:szCs w:val="32"/>
        </w:rPr>
        <w:t>）</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ascii="仿宋_GB2312" w:eastAsia="仿宋_GB2312" w:cs="仿宋_GB2312" w:hAnsiTheme="minorHAnsi"/>
          <w:kern w:val="0"/>
          <w:sz w:val="32"/>
          <w:szCs w:val="32"/>
          <w:u w:val="single"/>
        </w:rPr>
        <w:t xml:space="preserve">  </w:t>
      </w:r>
      <w:r>
        <w:rPr>
          <w:rFonts w:ascii="仿宋_GB2312" w:eastAsia="仿宋_GB2312" w:cs="仿宋_GB2312" w:hAnsiTheme="minorHAnsi"/>
          <w:kern w:val="0"/>
          <w:sz w:val="32"/>
          <w:szCs w:val="32"/>
        </w:rPr>
        <w:t xml:space="preserve"> </w:t>
      </w:r>
      <w:r>
        <w:rPr>
          <w:rFonts w:ascii="仿宋" w:hAnsi="仿宋" w:eastAsia="仿宋"/>
          <w:sz w:val="32"/>
          <w:szCs w:val="32"/>
        </w:rPr>
        <w:t>%</w:t>
      </w:r>
      <w:r>
        <w:rPr>
          <w:rFonts w:hint="eastAsia" w:ascii="仿宋" w:hAnsi="仿宋" w:eastAsia="仿宋"/>
          <w:sz w:val="32"/>
          <w:szCs w:val="32"/>
        </w:rPr>
        <w:t>。主要原因是</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仿宋" w:hAnsi="仿宋" w:eastAsia="仿宋"/>
          <w:sz w:val="32"/>
          <w:szCs w:val="32"/>
        </w:rPr>
        <w:t>例如</w:t>
      </w:r>
      <w:r>
        <w:rPr>
          <w:rFonts w:ascii="仿宋" w:hAnsi="仿宋" w:eastAsia="仿宋"/>
          <w:sz w:val="32"/>
          <w:szCs w:val="32"/>
        </w:rPr>
        <w:t>：</w:t>
      </w:r>
      <w:r>
        <w:rPr>
          <w:rFonts w:hint="eastAsia" w:ascii="仿宋" w:hAnsi="仿宋" w:eastAsia="仿宋"/>
          <w:sz w:val="32"/>
          <w:szCs w:val="32"/>
          <w:lang w:eastAsia="zh-CN"/>
        </w:rPr>
        <w:t>2025</w:t>
      </w:r>
      <w:r>
        <w:rPr>
          <w:rFonts w:hint="eastAsia" w:ascii="仿宋" w:hAnsi="仿宋" w:eastAsia="仿宋"/>
          <w:sz w:val="32"/>
          <w:szCs w:val="32"/>
        </w:rPr>
        <w:t>年本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万元，其中：政府采购货物预算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万元、政府采购工程预算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万元、政府采购服务预算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例如</w:t>
      </w:r>
      <w:r>
        <w:rPr>
          <w:rFonts w:ascii="仿宋" w:hAnsi="仿宋" w:eastAsia="仿宋"/>
          <w:sz w:val="32"/>
          <w:szCs w:val="32"/>
        </w:rPr>
        <w:t>：</w:t>
      </w:r>
      <w:r>
        <w:rPr>
          <w:rFonts w:hint="eastAsia" w:ascii="仿宋" w:hAnsi="仿宋" w:eastAsia="仿宋"/>
          <w:sz w:val="32"/>
          <w:szCs w:val="32"/>
        </w:rPr>
        <w:t>截至</w:t>
      </w:r>
      <w:r>
        <w:rPr>
          <w:rFonts w:hint="eastAsia" w:ascii="仿宋" w:hAnsi="仿宋" w:eastAsia="仿宋"/>
          <w:sz w:val="32"/>
          <w:szCs w:val="32"/>
          <w:lang w:eastAsia="zh-CN"/>
        </w:rPr>
        <w:t>2025</w:t>
      </w:r>
      <w:r>
        <w:rPr>
          <w:rFonts w:hint="eastAsia" w:ascii="仿宋" w:hAnsi="仿宋" w:eastAsia="仿宋"/>
          <w:sz w:val="32"/>
          <w:szCs w:val="32"/>
        </w:rPr>
        <w:t>年</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辆，其中，</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级领导干部用车（含在职和离退休部级干部用车）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辆、机要通信用车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辆、应急保障用车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辆、执法执勤用车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辆、特种专业技术用车</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辆、其他用车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辆，其他用车主要是</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用途的车辆。单位价值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w:t>
      </w:r>
      <w:r>
        <w:rPr>
          <w:rFonts w:hint="eastAsia" w:ascii="仿宋" w:hAnsi="仿宋" w:eastAsia="仿宋"/>
          <w:sz w:val="32"/>
          <w:szCs w:val="32"/>
          <w:lang w:eastAsia="zh-CN"/>
        </w:rPr>
        <w:t>2025</w:t>
      </w:r>
      <w:r>
        <w:rPr>
          <w:rFonts w:hint="eastAsia" w:ascii="仿宋" w:hAnsi="仿宋" w:eastAsia="仿宋"/>
          <w:sz w:val="32"/>
          <w:szCs w:val="32"/>
        </w:rPr>
        <w:t>年一般公共预算安排对确实无法使用的</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辆车进行更新购置……。</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w:t>
      </w:r>
      <w:r>
        <w:rPr>
          <w:rFonts w:hint="eastAsia" w:ascii="楷体" w:hAnsi="楷体" w:eastAsia="楷体"/>
          <w:sz w:val="32"/>
          <w:szCs w:val="32"/>
          <w:lang w:eastAsia="zh-CN"/>
        </w:rPr>
        <w:t>2025</w:t>
      </w:r>
      <w:r>
        <w:rPr>
          <w:rFonts w:hint="eastAsia" w:ascii="楷体" w:hAnsi="楷体" w:eastAsia="楷体"/>
          <w:sz w:val="32"/>
          <w:szCs w:val="32"/>
        </w:rPr>
        <w:t>年预算绩效情况说明。</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例如：</w:t>
      </w:r>
      <w:r>
        <w:rPr>
          <w:rFonts w:hint="eastAsia" w:ascii="仿宋" w:hAnsi="仿宋" w:eastAsia="仿宋"/>
          <w:sz w:val="32"/>
          <w:szCs w:val="32"/>
          <w:lang w:eastAsia="zh-CN"/>
        </w:rPr>
        <w:t>2025</w:t>
      </w:r>
      <w:r>
        <w:rPr>
          <w:rFonts w:hint="eastAsia" w:ascii="仿宋" w:hAnsi="仿宋" w:eastAsia="仿宋"/>
          <w:sz w:val="32"/>
          <w:szCs w:val="32"/>
        </w:rPr>
        <w:t>年实现财政支出绩效目标管理全覆盖，实行绩效目标管理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个，资金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0.72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万元，其中：中央转移支付资金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0.72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万元，地方资金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万元。重点项目（见名词解释）实行绩效目标管理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个，分别是（项目名称退休党组织班子成员工作补贴资金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0.72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万元；），占年初项目支出预算总额的</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0.01</w:t>
      </w:r>
      <w:bookmarkStart w:id="0" w:name="_GoBack"/>
      <w:bookmarkEnd w:id="0"/>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w:t>
      </w:r>
    </w:p>
    <w:p>
      <w:pPr>
        <w:spacing w:line="588" w:lineRule="exact"/>
        <w:ind w:firstLine="645"/>
        <w:rPr>
          <w:rFonts w:ascii="仿宋" w:hAnsi="仿宋" w:eastAsia="仿宋"/>
          <w:sz w:val="32"/>
          <w:szCs w:val="32"/>
        </w:rPr>
      </w:pPr>
      <w:r>
        <w:rPr>
          <w:rFonts w:hint="eastAsia" w:ascii="仿宋" w:hAnsi="仿宋" w:eastAsia="仿宋"/>
          <w:sz w:val="32"/>
          <w:szCs w:val="32"/>
        </w:rPr>
        <w:t>附重点项目绩效目标表（涉密项目除外）。</w:t>
      </w:r>
    </w:p>
    <w:p>
      <w:pPr>
        <w:ind w:firstLine="640" w:firstLineChars="200"/>
        <w:rPr>
          <w:rFonts w:ascii="楷体" w:hAnsi="楷体" w:eastAsia="楷体"/>
          <w:sz w:val="32"/>
          <w:szCs w:val="32"/>
        </w:rPr>
      </w:pPr>
      <w:r>
        <w:rPr>
          <w:rFonts w:hint="eastAsia" w:ascii="楷体" w:hAnsi="楷体" w:eastAsia="楷体"/>
          <w:sz w:val="32"/>
          <w:szCs w:val="32"/>
        </w:rPr>
        <w:t>（五）扶贫资金管理使用情况及绩效目标情况说明。</w:t>
      </w:r>
    </w:p>
    <w:p>
      <w:pPr>
        <w:ind w:firstLine="640" w:firstLineChars="200"/>
        <w:rPr>
          <w:rFonts w:hint="eastAsia" w:ascii="楷体" w:hAnsi="楷体" w:eastAsia="楷体"/>
          <w:sz w:val="32"/>
          <w:szCs w:val="32"/>
        </w:rPr>
      </w:pPr>
      <w:r>
        <w:rPr>
          <w:rFonts w:hint="eastAsia" w:ascii="楷体" w:hAnsi="楷体" w:eastAsia="楷体"/>
          <w:sz w:val="32"/>
          <w:szCs w:val="32"/>
        </w:rPr>
        <w:t>……</w:t>
      </w:r>
    </w:p>
    <w:p>
      <w:pPr>
        <w:ind w:firstLine="640" w:firstLineChars="200"/>
        <w:rPr>
          <w:rFonts w:ascii="仿宋" w:hAnsi="仿宋" w:eastAsia="仿宋"/>
          <w:sz w:val="32"/>
          <w:szCs w:val="32"/>
        </w:rPr>
      </w:pPr>
      <w:r>
        <w:rPr>
          <w:rFonts w:hint="eastAsia" w:ascii="楷体" w:hAnsi="楷体" w:eastAsia="楷体"/>
          <w:sz w:val="32"/>
          <w:szCs w:val="32"/>
        </w:rPr>
        <w:t>（六）政府债务情况。</w:t>
      </w:r>
      <w:r>
        <w:rPr>
          <w:rFonts w:hint="eastAsia" w:ascii="仿宋" w:hAnsi="仿宋" w:eastAsia="仿宋"/>
          <w:sz w:val="32"/>
          <w:szCs w:val="32"/>
        </w:rPr>
        <w:t>（本部门及所属单位使用和管理政府债券资金情况，包括相关政府债券资金总体规模、项目安排。）</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hint="eastAsia"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jc w:val="center"/>
        <w:rPr>
          <w:rFonts w:ascii="方正小标宋简体" w:hAnsi="仿宋" w:eastAsia="方正小标宋简体"/>
          <w:sz w:val="32"/>
          <w:szCs w:val="32"/>
        </w:rPr>
      </w:pPr>
    </w:p>
    <w:p>
      <w:pPr>
        <w:ind w:firstLine="640" w:firstLineChars="200"/>
        <w:rPr>
          <w:rFonts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和单位</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ind w:firstLine="640" w:firstLineChars="200"/>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Fonts w:ascii="宋体" w:hAnsi="宋体" w:eastAsia="宋体"/>
        <w:sz w:val="24"/>
        <w:szCs w:val="24"/>
      </w:rPr>
    </w:pPr>
    <w:r>
      <w:rPr>
        <w:rStyle w:val="8"/>
        <w:rFonts w:ascii="宋体" w:hAnsi="宋体" w:eastAsia="宋体"/>
        <w:sz w:val="24"/>
        <w:szCs w:val="24"/>
      </w:rPr>
      <w:fldChar w:fldCharType="begin"/>
    </w:r>
    <w:r>
      <w:rPr>
        <w:rStyle w:val="8"/>
        <w:rFonts w:ascii="宋体" w:hAnsi="宋体" w:eastAsia="宋体"/>
        <w:sz w:val="24"/>
        <w:szCs w:val="24"/>
      </w:rPr>
      <w:instrText xml:space="preserve">PAGE  </w:instrText>
    </w:r>
    <w:r>
      <w:rPr>
        <w:rStyle w:val="8"/>
        <w:rFonts w:ascii="宋体" w:hAnsi="宋体" w:eastAsia="宋体"/>
        <w:sz w:val="24"/>
        <w:szCs w:val="24"/>
      </w:rPr>
      <w:fldChar w:fldCharType="separate"/>
    </w:r>
    <w:r>
      <w:rPr>
        <w:rStyle w:val="8"/>
        <w:rFonts w:ascii="宋体" w:hAnsi="宋体" w:eastAsia="宋体"/>
        <w:sz w:val="24"/>
        <w:szCs w:val="24"/>
      </w:rPr>
      <w:t>- 3 -</w:t>
    </w:r>
    <w:r>
      <w:rPr>
        <w:rStyle w:val="8"/>
        <w:rFonts w:ascii="宋体" w:hAnsi="宋体" w:eastAsia="宋体"/>
        <w:sz w:val="24"/>
        <w:szCs w:val="24"/>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3D1642F"/>
    <w:rsid w:val="103B70AE"/>
    <w:rsid w:val="1EA50F23"/>
    <w:rsid w:val="207E50B4"/>
    <w:rsid w:val="24DF7A3D"/>
    <w:rsid w:val="2B255BA6"/>
    <w:rsid w:val="2C810435"/>
    <w:rsid w:val="2FE158E6"/>
    <w:rsid w:val="3834490B"/>
    <w:rsid w:val="38830543"/>
    <w:rsid w:val="3E145966"/>
    <w:rsid w:val="3F3D14E4"/>
    <w:rsid w:val="409A440B"/>
    <w:rsid w:val="441049B7"/>
    <w:rsid w:val="4C7450FB"/>
    <w:rsid w:val="4ED66E64"/>
    <w:rsid w:val="5BB86188"/>
    <w:rsid w:val="753C5BE5"/>
    <w:rsid w:val="77E90CC7"/>
    <w:rsid w:val="784D09EB"/>
    <w:rsid w:val="7EAF2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page number"/>
    <w:basedOn w:val="7"/>
    <w:uiPriority w:val="0"/>
  </w:style>
  <w:style w:type="character" w:customStyle="1" w:styleId="9">
    <w:name w:val="页眉 字符"/>
    <w:basedOn w:val="7"/>
    <w:link w:val="5"/>
    <w:uiPriority w:val="99"/>
    <w:rPr>
      <w:sz w:val="18"/>
      <w:szCs w:val="18"/>
    </w:rPr>
  </w:style>
  <w:style w:type="character" w:customStyle="1" w:styleId="10">
    <w:name w:val="页脚 字符"/>
    <w:basedOn w:val="7"/>
    <w:link w:val="4"/>
    <w:qFormat/>
    <w:uiPriority w:val="99"/>
    <w:rPr>
      <w:sz w:val="18"/>
      <w:szCs w:val="18"/>
    </w:rPr>
  </w:style>
  <w:style w:type="character" w:customStyle="1" w:styleId="11">
    <w:name w:val="批注框文本 字符"/>
    <w:basedOn w:val="7"/>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707</Words>
  <Characters>4031</Characters>
  <Lines>33</Lines>
  <Paragraphs>9</Paragraphs>
  <TotalTime>7</TotalTime>
  <ScaleCrop>false</ScaleCrop>
  <LinksUpToDate>false</LinksUpToDate>
  <CharactersWithSpaces>4729</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cp:lastModifiedBy>
  <cp:lastPrinted>2021-01-27T11:28:00Z</cp:lastPrinted>
  <dcterms:modified xsi:type="dcterms:W3CDTF">2025-01-23T08:27:29Z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6D83135988C440899232A16EF30D6845</vt:lpwstr>
  </property>
</Properties>
</file>