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西藏那曲班戈县德庆镇小学2025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 xml:space="preserve">23  </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cs="Times New Roman"/>
          <w:sz w:val="32"/>
          <w:szCs w:val="32"/>
        </w:rPr>
        <w:t xml:space="preserve"> </w:t>
      </w:r>
      <w:r>
        <w:rPr>
          <w:rFonts w:hint="eastAsia" w:ascii="方正小标宋简体" w:hAnsi="仿宋" w:eastAsia="方正小标宋简体"/>
          <w:sz w:val="32"/>
          <w:szCs w:val="32"/>
          <w:lang w:eastAsia="zh-CN"/>
        </w:rPr>
        <w:t>西藏那曲班戈县德庆镇小学</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西藏那曲班戈县德庆镇小学</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西藏那曲班戈县德庆镇小学</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西藏那曲班戈县德庆镇小学</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西藏那曲班戈县德庆镇小学</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西藏那曲班戈县德庆镇小学</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西藏那曲班戈县德庆镇小学</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pStyle w:val="2"/>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（一）县委教育工委坚持党的教育工作的领导，聚焦“四件大事”聚力“四个创建”，紧扣“四个示范市”战略任务，统筹推进全县教育系统党的建设、思想政治、维护稳定工作。主要职责是：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全面贯彻党的教育方针，指导教育领域贯彻执行党的路线方针政策。承担县委教育工作领导小组日常工作，研究拟订全县教育领域党的建设规划并指导实施。负责对全县教育领域党的建设重要问题进行调查研究，向县委提出意见建议，在职权范围内对有关问题作出决定。</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2.指导全县教育领域党的基层组织建设和党员队伍建设。指导全县教育领域精神文明建设。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3.按照干部管理权限，协助县委及县委组织部加强学校领导班子和后备干部队伍建设。指导教育体育系统人才队伍建设工作，研究制定有关规划和措施。指导高层次人才的选拔培养和协调服务。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负责教育领域宣传思想文化、统一战线、群团组织建设等工作。建立完善铸牢中华民族共同体意识纳入国民教育机制。加快建设教育强国，为中华民族伟大复兴提供有力支撑，指导学校深入开展铸牢中华民族共同体意识教育，深化爱国主义、民族团结进步和反分裂斗争教育。统筹推进教育领域维护稳定工作，监督指导各级各类学校公共安全和应急处置工作。会同有关部门做好校园及周边综合治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5.完成县委交办的其他任务。</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二）县教育负责贯彻落实党中央关于教育工作的方针政策及自治区党委、市委、县委的工作要求，把坚持党对教育工作的领导落实到履行职责过程中，聚焦“四件大事”聚力“四个创建”，紧扣“四个示范市”战略任务，加快建设高质量教育体系，推动教育发展与经济社会发展相适应。主要职责是：</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1.贯彻执行国家教育体育改革与发展规划。制定全县教育体育改革发展规划和具体措施。贯彻落实教育体育领域相关政策。承担全县教育体育领域改革有关工作。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2.负责全县基础教育（含学前教育、特殊教育）、职业教育、民办教育的宏观管理。推进学前教育普及普惠安全优质发展，推进义务教育优质均衡发展和促进教育公平，负责义务教育的宏观指导与协调。贯彻落实国家关于各级各类学校设置标准，会同有关部门制定各级各类学校设置标准，指导各级各类学校德育、智育、体育、美育、劳动教育工作。负责教育基本信息的统计、分析和发布。主管全县教师工作。负责组织教师资格认定有关工作。规划和指导各级各类学校教师和教育行政干部队伍的建设，协调及管理本地的教师培训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3.指导面向中小学生（含幼儿园儿童）的校外培训管理工作，会同有关部门指导开展校外培训监管工作。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4.在权限范围内统筹管理全县各级各类教育领域的课程和教材工作。根据授权，协助开展地方教材建设工作。组织指导教育科学研究工作。承担全县教育信息化建设。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5.研究制定全县教育考试招生具体措施并组织实施。负责全县学生管理、各级各类教育的学籍学历管理工作。参与制定普通高等学校毕业生就业具体措施，指导创新创业教育和就业工作。指导社会力量办学，对教育质量进行检查。</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6.贯彻执行党中央关于语言文字工作的方针政策及自治区党委、市委、县委的工作要求，会同有关部门制定实施国家通用语言文字推广普及行动方案。负责国家通用语言文字教育和推广工作。监督检查语言文字的应用情况。</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7.拟订全县教育体育经费具体措施、财务管理制度并监督实施。指导全县教育体育财务管理和教育体育经费监管工作。负责学生资助工作。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8.组织指导全县教育体育领域交流合作工作。根据授权，开展教育体育领域高水平对外开放。负责教育受援工作。负责异地办学有关工作。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9.配合指导全县教育体育产业的发展，负责全县各级各类学校基本建设，推进全民健身计划，促进全民健身和全民健康深度融合。指导群众性体育活动，监督实施国家体育锻炼标准，开展公民体质监测和全民健身计划实施情况评估。负责社会体育指导员队伍建设。按照创建全国民族团结进步模范区要求，组织开展保护、传承和发展民族传统体育活动工作。指导公共体育设施建设。负责公共体育场地设施监督管理。管理全县登山活动。</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10.统筹规划全县竞技体育发展，指导协调体育训练、体育竞赛和运动队伍建设。组织参加全区综合性运动会，负责组织协调全县综合性运动会相关工作，协调运动员文化教育和社会保障工作。会同有关部门开展对兴奋剂问题实施综合治理，组织开展反兴奋剂宣传教育工作。组织开展体育训练科学技术研究“人才引进”工作，做好引进人才的教育与管理。</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11.统筹规划全县青少年体育发展，指导和推进青少年体育工作。指导全县群众的体育、竞技体育和体育经济工作以及全民健康活动计划的实施。实施国家及自治区体育锻炼标准，推动国民体质监测和社会体育指导工作队伍制度建设。</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12.拟订体育产业发展措施，规范体育服务管理，依法依规管理全县体育标准化工作。落实体育产业发展工作协调机制，发展登山等高原特色体育项目，助力文化旅游产业发展。负责全县体育彩票管理工作。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13.负责全县各级各类教育督导检查和评估验收工作。负责督政督学和质量监测工作。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14.负责本行业本领域安全生产监管和应急处置工作。</w:t>
      </w:r>
    </w:p>
    <w:p>
      <w:pPr>
        <w:numPr>
          <w:ilvl w:val="0"/>
          <w:numId w:val="0"/>
        </w:numPr>
        <w:ind w:firstLine="640" w:firstLineChars="200"/>
        <w:rPr>
          <w:rFonts w:hint="eastAsia" w:ascii="方正仿宋_GB2312" w:hAnsi="方正仿宋_GB2312" w:eastAsia="方正仿宋_GB2312" w:cs="方正仿宋_GB2312"/>
          <w:color w:val="auto"/>
          <w:kern w:val="2"/>
          <w:sz w:val="32"/>
          <w:szCs w:val="32"/>
          <w:lang w:val="en-US" w:eastAsia="zh-CN" w:bidi="ar-SA"/>
        </w:rPr>
      </w:pPr>
      <w:r>
        <w:rPr>
          <w:rFonts w:hint="eastAsia" w:ascii="方正仿宋_GB2312" w:hAnsi="方正仿宋_GB2312" w:eastAsia="方正仿宋_GB2312" w:cs="方正仿宋_GB2312"/>
          <w:color w:val="auto"/>
          <w:kern w:val="2"/>
          <w:sz w:val="32"/>
          <w:szCs w:val="32"/>
          <w:lang w:val="en-US" w:eastAsia="zh-CN" w:bidi="ar-SA"/>
        </w:rPr>
        <w:t>15.完成县委、县政府交办的其他任务。</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西藏那曲班戈县德庆镇小学</w:t>
      </w:r>
      <w:r>
        <w:rPr>
          <w:rFonts w:hint="eastAsia" w:ascii="黑体" w:hAnsi="黑体" w:eastAsia="黑体"/>
          <w:sz w:val="32"/>
          <w:szCs w:val="32"/>
        </w:rPr>
        <w:t>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西藏那曲班戈县德庆镇小学</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0</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西藏那曲班戈县德庆镇小学2025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西藏那曲班戈县德庆镇小学2025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lang w:val="en-US" w:eastAsia="zh-CN"/>
        </w:rPr>
        <w:t>2732.74</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西藏那曲班戈县德庆镇小学</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1352.1  </w:t>
      </w:r>
      <w:r>
        <w:rPr>
          <w:rFonts w:hint="eastAsia" w:ascii="仿宋" w:hAnsi="仿宋" w:eastAsia="仿宋"/>
          <w:sz w:val="32"/>
          <w:szCs w:val="32"/>
        </w:rPr>
        <w:t>万元，同比增加</w:t>
      </w:r>
      <w:r>
        <w:rPr>
          <w:rFonts w:hint="eastAsia" w:ascii="仿宋" w:hAnsi="仿宋" w:eastAsia="仿宋"/>
          <w:sz w:val="32"/>
          <w:szCs w:val="32"/>
          <w:lang w:val="en-US" w:eastAsia="zh-CN"/>
        </w:rPr>
        <w:t>476.79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28.53</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1,351.00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99.91</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西藏那曲班戈县德庆镇小学</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例如：支出预算总量</w:t>
      </w:r>
      <w:r>
        <w:rPr>
          <w:rFonts w:hint="eastAsia" w:ascii="仿宋" w:hAnsi="仿宋" w:eastAsia="仿宋"/>
          <w:sz w:val="32"/>
          <w:szCs w:val="32"/>
          <w:u w:val="single"/>
        </w:rPr>
        <w:t xml:space="preserve"> 1380.64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505.33</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2732.74</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982.12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人员类经费、项目款增加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1351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28.53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1,323.57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5.18 </w:t>
      </w:r>
      <w:r>
        <w:rPr>
          <w:rFonts w:hint="eastAsia" w:ascii="仿宋" w:hAnsi="仿宋" w:eastAsia="仿宋"/>
          <w:sz w:val="32"/>
          <w:szCs w:val="32"/>
        </w:rPr>
        <w:t>万元、住房保障支出</w:t>
      </w:r>
      <w:r>
        <w:rPr>
          <w:rFonts w:hint="eastAsia" w:ascii="仿宋" w:hAnsi="仿宋" w:eastAsia="仿宋"/>
          <w:sz w:val="32"/>
          <w:szCs w:val="32"/>
          <w:u w:val="single"/>
        </w:rPr>
        <w:t xml:space="preserve">50.78 </w:t>
      </w:r>
      <w:r>
        <w:rPr>
          <w:rFonts w:hint="eastAsia" w:ascii="仿宋" w:hAnsi="仿宋" w:eastAsia="仿宋"/>
          <w:sz w:val="32"/>
          <w:szCs w:val="32"/>
        </w:rPr>
        <w:t>万元</w:t>
      </w:r>
      <w:r>
        <w:rPr>
          <w:rFonts w:hint="eastAsia" w:ascii="仿宋" w:hAnsi="仿宋" w:eastAsia="仿宋"/>
          <w:sz w:val="32"/>
          <w:szCs w:val="32"/>
          <w:lang w:eastAsia="zh-CN"/>
        </w:rPr>
        <w:t>、 其他支出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1281.68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33.44</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人员类经费增加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1351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%；教育支出</w:t>
      </w:r>
      <w:r>
        <w:rPr>
          <w:rFonts w:hint="eastAsia" w:ascii="仿宋" w:hAnsi="仿宋" w:eastAsia="仿宋"/>
          <w:sz w:val="32"/>
          <w:szCs w:val="32"/>
          <w:u w:val="single"/>
        </w:rPr>
        <w:t xml:space="preserve"> 1323.57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97.96</w:t>
      </w:r>
      <w:r>
        <w:rPr>
          <w:rFonts w:hint="eastAsia" w:ascii="仿宋" w:hAnsi="仿宋" w:eastAsia="仿宋"/>
          <w:sz w:val="32"/>
          <w:szCs w:val="32"/>
          <w:u w:val="single"/>
        </w:rPr>
        <w:t xml:space="preserve"> </w:t>
      </w:r>
      <w:r>
        <w:rPr>
          <w:rFonts w:hint="eastAsia" w:ascii="仿宋" w:hAnsi="仿宋" w:eastAsia="仿宋"/>
          <w:sz w:val="32"/>
          <w:szCs w:val="32"/>
        </w:rPr>
        <w:t>%； 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社会保障和就业支出</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；卫生健康支出</w:t>
      </w:r>
      <w:r>
        <w:rPr>
          <w:rFonts w:hint="eastAsia" w:ascii="仿宋" w:hAnsi="仿宋" w:eastAsia="仿宋"/>
          <w:sz w:val="32"/>
          <w:szCs w:val="32"/>
          <w:u w:val="single"/>
          <w:lang w:val="en-US" w:eastAsia="zh-CN"/>
        </w:rPr>
        <w:t>5.18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 住房保障支出</w:t>
      </w:r>
      <w:r>
        <w:rPr>
          <w:rFonts w:hint="eastAsia" w:ascii="仿宋" w:hAnsi="仿宋" w:eastAsia="仿宋"/>
          <w:sz w:val="32"/>
          <w:szCs w:val="32"/>
          <w:u w:val="single"/>
          <w:lang w:val="en-US" w:eastAsia="zh-CN"/>
        </w:rPr>
        <w:t>50.78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；其他支出</w:t>
      </w:r>
      <w:r>
        <w:rPr>
          <w:rFonts w:hint="eastAsia" w:ascii="仿宋" w:hAnsi="仿宋" w:eastAsia="仿宋"/>
          <w:sz w:val="32"/>
          <w:szCs w:val="32"/>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0.08</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例如：1.一般公共服务支出（类）财政事务（款）行政运行（项）预算数为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1,230.42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1,130.62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99.80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项目资金减少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例如：“三公”经费预算数为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西藏那曲班戈县德庆镇小学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bookmarkStart w:id="0" w:name="_GoBack"/>
      <w:bookmarkEnd w:id="0"/>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5"/>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150.22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150.22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w:t>
      </w:r>
      <w:r>
        <w:rPr>
          <w:rFonts w:hint="eastAsia" w:ascii="仿宋" w:hAnsi="仿宋" w:eastAsia="仿宋"/>
          <w:sz w:val="32"/>
          <w:szCs w:val="32"/>
          <w:lang w:eastAsia="zh-CN"/>
        </w:rPr>
        <w:t>（</w:t>
      </w:r>
      <w:r>
        <w:rPr>
          <w:rFonts w:hint="eastAsia" w:ascii="仿宋" w:hAnsi="仿宋" w:eastAsia="仿宋"/>
          <w:sz w:val="32"/>
          <w:szCs w:val="32"/>
        </w:rPr>
        <w:t>乡村学校少年宫项目资金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退休党组织班子成员工作补贴资金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德庆镇小学学生食堂及校舍改扩建项目资金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149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11.11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rPr>
      </w:pPr>
      <w:r>
        <w:rPr>
          <w:rFonts w:hint="eastAsia" w:ascii="楷体" w:hAnsi="楷体" w:eastAsia="楷体"/>
          <w:sz w:val="32"/>
          <w:szCs w:val="32"/>
        </w:rPr>
        <w:t>……</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507D34"/>
    <w:rsid w:val="03D1642F"/>
    <w:rsid w:val="04DB25CD"/>
    <w:rsid w:val="065232EA"/>
    <w:rsid w:val="06DB57CD"/>
    <w:rsid w:val="074A1304"/>
    <w:rsid w:val="0FD30983"/>
    <w:rsid w:val="103B70AE"/>
    <w:rsid w:val="115F1E2D"/>
    <w:rsid w:val="12CF28EA"/>
    <w:rsid w:val="13781A7E"/>
    <w:rsid w:val="13D0723A"/>
    <w:rsid w:val="17FB49D5"/>
    <w:rsid w:val="180B4D80"/>
    <w:rsid w:val="18A81218"/>
    <w:rsid w:val="1A0A4846"/>
    <w:rsid w:val="1B4C2801"/>
    <w:rsid w:val="1EA50F23"/>
    <w:rsid w:val="22A10C5C"/>
    <w:rsid w:val="2319630C"/>
    <w:rsid w:val="249E2CA0"/>
    <w:rsid w:val="24DF7A3D"/>
    <w:rsid w:val="267C7367"/>
    <w:rsid w:val="273264DD"/>
    <w:rsid w:val="28256D6A"/>
    <w:rsid w:val="2A575D85"/>
    <w:rsid w:val="2B004F19"/>
    <w:rsid w:val="2F874408"/>
    <w:rsid w:val="2FE158E6"/>
    <w:rsid w:val="31CA4F3C"/>
    <w:rsid w:val="351D0231"/>
    <w:rsid w:val="360B744C"/>
    <w:rsid w:val="3834490B"/>
    <w:rsid w:val="38830543"/>
    <w:rsid w:val="3E145966"/>
    <w:rsid w:val="3F3A4418"/>
    <w:rsid w:val="3F3D14E4"/>
    <w:rsid w:val="40512D12"/>
    <w:rsid w:val="409A440B"/>
    <w:rsid w:val="424D72D5"/>
    <w:rsid w:val="441049B7"/>
    <w:rsid w:val="45216F86"/>
    <w:rsid w:val="45E66B3C"/>
    <w:rsid w:val="477D7ED7"/>
    <w:rsid w:val="477E5958"/>
    <w:rsid w:val="49A81A24"/>
    <w:rsid w:val="4C7450FB"/>
    <w:rsid w:val="4E015B87"/>
    <w:rsid w:val="4ED66E64"/>
    <w:rsid w:val="4F297EE5"/>
    <w:rsid w:val="536A7BE8"/>
    <w:rsid w:val="5AFC1BD0"/>
    <w:rsid w:val="5BB86188"/>
    <w:rsid w:val="5DCA6E6D"/>
    <w:rsid w:val="5E2D1110"/>
    <w:rsid w:val="64991719"/>
    <w:rsid w:val="65105ECA"/>
    <w:rsid w:val="66533F6E"/>
    <w:rsid w:val="68BE0B64"/>
    <w:rsid w:val="699B4CCF"/>
    <w:rsid w:val="6A223CAF"/>
    <w:rsid w:val="6A7C1C94"/>
    <w:rsid w:val="6B834B70"/>
    <w:rsid w:val="6C25217A"/>
    <w:rsid w:val="6FA06CE6"/>
    <w:rsid w:val="704A549B"/>
    <w:rsid w:val="71047CD0"/>
    <w:rsid w:val="753C5BE5"/>
    <w:rsid w:val="761200A2"/>
    <w:rsid w:val="77D95C01"/>
    <w:rsid w:val="77E90CC7"/>
    <w:rsid w:val="784D09EB"/>
    <w:rsid w:val="79A33DC0"/>
    <w:rsid w:val="7EAF2C64"/>
    <w:rsid w:val="7EBE547D"/>
    <w:rsid w:val="7F13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TotalTime>
  <ScaleCrop>false</ScaleCrop>
  <LinksUpToDate>false</LinksUpToDate>
  <CharactersWithSpaces>4729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cp:lastModifiedBy>
  <cp:lastPrinted>2021-01-27T11:28:00Z</cp:lastPrinted>
  <dcterms:modified xsi:type="dcterms:W3CDTF">2025-01-23T08:15:56Z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6FD3ACF1F96642A3A4A1E5D00E3E5B89</vt:lpwstr>
  </property>
</Properties>
</file>