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DABB8">
      <w:pPr>
        <w:rPr>
          <w:rFonts w:ascii="仿宋" w:hAnsi="仿宋" w:eastAsia="仿宋"/>
          <w:sz w:val="32"/>
          <w:szCs w:val="32"/>
        </w:rPr>
      </w:pPr>
    </w:p>
    <w:p w14:paraId="06012905">
      <w:pPr>
        <w:rPr>
          <w:rFonts w:ascii="仿宋" w:hAnsi="仿宋" w:eastAsia="仿宋"/>
          <w:sz w:val="32"/>
          <w:szCs w:val="32"/>
        </w:rPr>
      </w:pPr>
    </w:p>
    <w:p w14:paraId="5FE4BB84">
      <w:pPr>
        <w:rPr>
          <w:rFonts w:ascii="仿宋" w:hAnsi="仿宋" w:eastAsia="仿宋"/>
          <w:sz w:val="32"/>
          <w:szCs w:val="32"/>
        </w:rPr>
      </w:pPr>
    </w:p>
    <w:p w14:paraId="11D2242F">
      <w:pPr>
        <w:rPr>
          <w:rFonts w:ascii="仿宋" w:hAnsi="仿宋" w:eastAsia="仿宋"/>
          <w:sz w:val="32"/>
          <w:szCs w:val="32"/>
        </w:rPr>
      </w:pPr>
    </w:p>
    <w:p w14:paraId="79250487">
      <w:pPr>
        <w:rPr>
          <w:rFonts w:ascii="仿宋" w:hAnsi="仿宋" w:eastAsia="仿宋"/>
          <w:sz w:val="32"/>
          <w:szCs w:val="32"/>
        </w:rPr>
      </w:pPr>
    </w:p>
    <w:p w14:paraId="6C862916">
      <w:pPr>
        <w:rPr>
          <w:rFonts w:ascii="仿宋" w:hAnsi="仿宋" w:eastAsia="仿宋"/>
          <w:sz w:val="32"/>
          <w:szCs w:val="32"/>
        </w:rPr>
      </w:pPr>
    </w:p>
    <w:p w14:paraId="3FE9618C">
      <w:pPr>
        <w:jc w:val="center"/>
        <w:rPr>
          <w:rFonts w:hint="eastAsia" w:ascii="方正小标宋简体" w:hAnsi="方正小标宋简体" w:eastAsia="方正小标宋简体" w:cs="方正小标宋简体"/>
          <w:sz w:val="48"/>
          <w:szCs w:val="48"/>
          <w:lang w:eastAsia="zh-CN"/>
        </w:rPr>
      </w:pPr>
      <w:r>
        <w:rPr>
          <w:rFonts w:hint="eastAsia" w:ascii="方正小标宋简体" w:hAnsi="方正小标宋简体" w:eastAsia="方正小标宋简体" w:cs="方正小标宋简体"/>
          <w:sz w:val="48"/>
          <w:szCs w:val="48"/>
          <w:lang w:eastAsia="zh-CN"/>
        </w:rPr>
        <w:t>中共班戈县委社会工作部</w:t>
      </w:r>
    </w:p>
    <w:p w14:paraId="0565E14F">
      <w:pPr>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eastAsia="zh-CN"/>
        </w:rPr>
        <w:t>2025年度部门预算</w:t>
      </w:r>
      <w:r>
        <w:rPr>
          <w:rFonts w:hint="eastAsia" w:ascii="方正小标宋简体" w:hAnsi="方正小标宋简体" w:eastAsia="方正小标宋简体" w:cs="方正小标宋简体"/>
          <w:sz w:val="48"/>
          <w:szCs w:val="48"/>
          <w:lang w:val="en-US" w:eastAsia="zh-CN"/>
        </w:rPr>
        <w:t>公开</w:t>
      </w:r>
    </w:p>
    <w:p w14:paraId="2AF283A1">
      <w:pPr>
        <w:rPr>
          <w:rFonts w:ascii="仿宋" w:hAnsi="仿宋" w:eastAsia="仿宋"/>
          <w:sz w:val="32"/>
          <w:szCs w:val="32"/>
        </w:rPr>
      </w:pPr>
    </w:p>
    <w:p w14:paraId="21691674">
      <w:pPr>
        <w:rPr>
          <w:rFonts w:ascii="仿宋" w:hAnsi="仿宋" w:eastAsia="仿宋"/>
          <w:sz w:val="32"/>
          <w:szCs w:val="32"/>
        </w:rPr>
      </w:pPr>
    </w:p>
    <w:p w14:paraId="5811C226">
      <w:pPr>
        <w:rPr>
          <w:rFonts w:ascii="仿宋" w:hAnsi="仿宋" w:eastAsia="仿宋"/>
          <w:sz w:val="32"/>
          <w:szCs w:val="32"/>
        </w:rPr>
      </w:pPr>
    </w:p>
    <w:p w14:paraId="6DCF321E">
      <w:pPr>
        <w:rPr>
          <w:rFonts w:ascii="仿宋" w:hAnsi="仿宋" w:eastAsia="仿宋"/>
          <w:sz w:val="32"/>
          <w:szCs w:val="32"/>
        </w:rPr>
      </w:pPr>
    </w:p>
    <w:p w14:paraId="5ED73E6A">
      <w:pPr>
        <w:rPr>
          <w:rFonts w:ascii="仿宋" w:hAnsi="仿宋" w:eastAsia="仿宋"/>
          <w:sz w:val="32"/>
          <w:szCs w:val="32"/>
        </w:rPr>
      </w:pPr>
    </w:p>
    <w:p w14:paraId="7F5C1DBC">
      <w:pPr>
        <w:rPr>
          <w:rFonts w:ascii="仿宋" w:hAnsi="仿宋" w:eastAsia="仿宋"/>
          <w:sz w:val="32"/>
          <w:szCs w:val="32"/>
        </w:rPr>
      </w:pPr>
    </w:p>
    <w:p w14:paraId="71067BCA">
      <w:pPr>
        <w:rPr>
          <w:rFonts w:ascii="仿宋" w:hAnsi="仿宋" w:eastAsia="仿宋"/>
          <w:sz w:val="32"/>
          <w:szCs w:val="32"/>
        </w:rPr>
      </w:pPr>
    </w:p>
    <w:p w14:paraId="00F666AC">
      <w:pPr>
        <w:rPr>
          <w:rFonts w:ascii="仿宋" w:hAnsi="仿宋" w:eastAsia="仿宋"/>
          <w:sz w:val="32"/>
          <w:szCs w:val="32"/>
        </w:rPr>
      </w:pPr>
    </w:p>
    <w:p w14:paraId="145B5B1C">
      <w:pPr>
        <w:rPr>
          <w:rFonts w:ascii="仿宋" w:hAnsi="仿宋" w:eastAsia="仿宋"/>
          <w:sz w:val="32"/>
          <w:szCs w:val="32"/>
        </w:rPr>
      </w:pPr>
    </w:p>
    <w:p w14:paraId="617B4CAC">
      <w:pPr>
        <w:rPr>
          <w:rFonts w:ascii="仿宋" w:hAnsi="仿宋" w:eastAsia="仿宋"/>
          <w:sz w:val="32"/>
          <w:szCs w:val="32"/>
        </w:rPr>
      </w:pPr>
    </w:p>
    <w:p w14:paraId="4915D0CF">
      <w:pPr>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2024</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 xml:space="preserve"> 月 </w:t>
      </w:r>
      <w:r>
        <w:rPr>
          <w:rFonts w:hint="default" w:ascii="Times New Roman" w:hAnsi="Times New Roman" w:eastAsia="方正仿宋简体" w:cs="Times New Roman"/>
          <w:sz w:val="32"/>
          <w:szCs w:val="32"/>
          <w:lang w:val="en-US" w:eastAsia="zh-CN"/>
        </w:rPr>
        <w:t>23</w:t>
      </w:r>
      <w:r>
        <w:rPr>
          <w:rFonts w:hint="default" w:ascii="Times New Roman" w:hAnsi="Times New Roman" w:eastAsia="方正仿宋简体" w:cs="Times New Roman"/>
          <w:sz w:val="32"/>
          <w:szCs w:val="32"/>
        </w:rPr>
        <w:t>日</w:t>
      </w:r>
    </w:p>
    <w:p w14:paraId="454D8C5E">
      <w:pPr>
        <w:jc w:val="both"/>
        <w:rPr>
          <w:rFonts w:hint="eastAsia" w:ascii="方正小标宋简体" w:hAnsi="仿宋" w:eastAsia="方正小标宋简体"/>
          <w:sz w:val="44"/>
          <w:szCs w:val="44"/>
        </w:rPr>
      </w:pPr>
    </w:p>
    <w:p w14:paraId="4E283D7A">
      <w:pPr>
        <w:spacing w:line="460" w:lineRule="exact"/>
        <w:jc w:val="center"/>
        <w:rPr>
          <w:rFonts w:hint="eastAsia" w:ascii="方正小标宋简体" w:hAnsi="仿宋" w:eastAsia="方正小标宋简体"/>
          <w:sz w:val="44"/>
          <w:szCs w:val="44"/>
          <w:lang w:val="en-US" w:eastAsia="zh-CN"/>
        </w:rPr>
      </w:pPr>
    </w:p>
    <w:p w14:paraId="73D743D9">
      <w:pPr>
        <w:spacing w:line="4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4674831C">
      <w:pPr>
        <w:rPr>
          <w:rFonts w:ascii="仿宋" w:hAnsi="仿宋" w:eastAsia="仿宋"/>
          <w:sz w:val="32"/>
          <w:szCs w:val="32"/>
        </w:rPr>
      </w:pPr>
    </w:p>
    <w:p w14:paraId="1E7BBEA5">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cs="Times New Roman"/>
          <w:sz w:val="32"/>
          <w:szCs w:val="32"/>
          <w:lang w:eastAsia="zh-CN"/>
        </w:rPr>
        <w:t>中共班戈县委社会工作部</w:t>
      </w:r>
      <w:r>
        <w:rPr>
          <w:rFonts w:hint="eastAsia" w:ascii="方正小标宋简体" w:hAnsi="仿宋" w:eastAsia="方正小标宋简体"/>
          <w:sz w:val="32"/>
          <w:szCs w:val="32"/>
        </w:rPr>
        <w:t>概况</w:t>
      </w:r>
    </w:p>
    <w:p w14:paraId="45630642">
      <w:pPr>
        <w:rPr>
          <w:rFonts w:ascii="黑体" w:hAnsi="黑体" w:eastAsia="黑体"/>
          <w:sz w:val="32"/>
          <w:szCs w:val="32"/>
        </w:rPr>
      </w:pPr>
      <w:r>
        <w:rPr>
          <w:rFonts w:hint="eastAsia" w:ascii="黑体" w:hAnsi="黑体" w:eastAsia="黑体"/>
          <w:sz w:val="32"/>
          <w:szCs w:val="32"/>
        </w:rPr>
        <w:t>一、主要职能</w:t>
      </w:r>
    </w:p>
    <w:p w14:paraId="67627DFC">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14:paraId="5CA34D61">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中共班戈县委社会工作部</w:t>
      </w:r>
      <w:r>
        <w:rPr>
          <w:rFonts w:hint="eastAsia" w:ascii="方正小标宋简体" w:hAnsi="仿宋" w:eastAsia="方正小标宋简体"/>
          <w:sz w:val="32"/>
          <w:szCs w:val="32"/>
        </w:rPr>
        <w:t>预算明细表</w:t>
      </w:r>
    </w:p>
    <w:p w14:paraId="3015D1D7">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中共班戈县委社会工作部</w:t>
      </w:r>
      <w:r>
        <w:rPr>
          <w:rFonts w:hint="eastAsia" w:ascii="方正小标宋简体" w:hAnsi="仿宋" w:eastAsia="方正小标宋简体"/>
          <w:sz w:val="32"/>
          <w:szCs w:val="32"/>
        </w:rPr>
        <w:t>预算数据分析</w:t>
      </w:r>
    </w:p>
    <w:p w14:paraId="4FA6DD78">
      <w:pPr>
        <w:rPr>
          <w:rFonts w:ascii="黑体" w:hAnsi="黑体" w:eastAsia="黑体"/>
          <w:sz w:val="32"/>
          <w:szCs w:val="32"/>
        </w:rPr>
      </w:pPr>
      <w:r>
        <w:rPr>
          <w:rFonts w:hint="eastAsia" w:ascii="黑体" w:hAnsi="黑体" w:eastAsia="黑体"/>
          <w:sz w:val="32"/>
          <w:szCs w:val="32"/>
        </w:rPr>
        <w:t>一、部门/单位收支总体情况</w:t>
      </w:r>
    </w:p>
    <w:p w14:paraId="362135C2">
      <w:pPr>
        <w:rPr>
          <w:rFonts w:ascii="黑体" w:hAnsi="黑体" w:eastAsia="黑体"/>
          <w:sz w:val="32"/>
          <w:szCs w:val="32"/>
        </w:rPr>
      </w:pPr>
      <w:r>
        <w:rPr>
          <w:rFonts w:hint="eastAsia" w:ascii="黑体" w:hAnsi="黑体" w:eastAsia="黑体"/>
          <w:sz w:val="32"/>
          <w:szCs w:val="32"/>
        </w:rPr>
        <w:t>二、部门/单位收入总体情况</w:t>
      </w:r>
    </w:p>
    <w:p w14:paraId="6246B5FB">
      <w:pPr>
        <w:rPr>
          <w:rFonts w:ascii="黑体" w:hAnsi="黑体" w:eastAsia="黑体"/>
          <w:sz w:val="32"/>
          <w:szCs w:val="32"/>
        </w:rPr>
      </w:pPr>
      <w:r>
        <w:rPr>
          <w:rFonts w:hint="eastAsia" w:ascii="黑体" w:hAnsi="黑体" w:eastAsia="黑体"/>
          <w:sz w:val="32"/>
          <w:szCs w:val="32"/>
        </w:rPr>
        <w:t>三、部门/单位支出总体情况</w:t>
      </w:r>
    </w:p>
    <w:p w14:paraId="1A1FFCD8">
      <w:pPr>
        <w:rPr>
          <w:rFonts w:ascii="黑体" w:hAnsi="黑体" w:eastAsia="黑体"/>
          <w:sz w:val="32"/>
          <w:szCs w:val="32"/>
        </w:rPr>
      </w:pPr>
      <w:r>
        <w:rPr>
          <w:rFonts w:hint="eastAsia" w:ascii="黑体" w:hAnsi="黑体" w:eastAsia="黑体"/>
          <w:sz w:val="32"/>
          <w:szCs w:val="32"/>
        </w:rPr>
        <w:t>四、财政拨款收支总体情况</w:t>
      </w:r>
    </w:p>
    <w:p w14:paraId="638FF45A">
      <w:pPr>
        <w:rPr>
          <w:rFonts w:ascii="黑体" w:hAnsi="黑体" w:eastAsia="黑体"/>
          <w:sz w:val="32"/>
          <w:szCs w:val="32"/>
        </w:rPr>
      </w:pPr>
      <w:r>
        <w:rPr>
          <w:rFonts w:hint="eastAsia" w:ascii="黑体" w:hAnsi="黑体" w:eastAsia="黑体"/>
          <w:sz w:val="32"/>
          <w:szCs w:val="32"/>
        </w:rPr>
        <w:t>五、一般公共预算支出总体情况（按功能分类科目）</w:t>
      </w:r>
    </w:p>
    <w:p w14:paraId="07536E7E">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44C064A4">
      <w:pPr>
        <w:rPr>
          <w:rFonts w:ascii="黑体" w:hAnsi="黑体" w:eastAsia="黑体"/>
          <w:sz w:val="32"/>
          <w:szCs w:val="32"/>
        </w:rPr>
      </w:pPr>
      <w:r>
        <w:rPr>
          <w:rFonts w:hint="eastAsia" w:ascii="黑体" w:hAnsi="黑体" w:eastAsia="黑体"/>
          <w:sz w:val="32"/>
          <w:szCs w:val="32"/>
        </w:rPr>
        <w:t>七、一般公共预算“三公”经费支出总体情况</w:t>
      </w:r>
    </w:p>
    <w:p w14:paraId="7FB22C42">
      <w:pPr>
        <w:rPr>
          <w:rFonts w:ascii="黑体" w:hAnsi="黑体" w:eastAsia="黑体"/>
          <w:sz w:val="32"/>
          <w:szCs w:val="32"/>
        </w:rPr>
      </w:pPr>
      <w:r>
        <w:rPr>
          <w:rFonts w:hint="eastAsia" w:ascii="黑体" w:hAnsi="黑体" w:eastAsia="黑体"/>
          <w:sz w:val="32"/>
          <w:szCs w:val="32"/>
        </w:rPr>
        <w:t>八、政府性基金预算支出总体情况</w:t>
      </w:r>
    </w:p>
    <w:p w14:paraId="62F950F4">
      <w:pPr>
        <w:rPr>
          <w:rFonts w:ascii="黑体" w:hAnsi="黑体" w:eastAsia="黑体"/>
          <w:sz w:val="32"/>
          <w:szCs w:val="32"/>
        </w:rPr>
      </w:pPr>
      <w:r>
        <w:rPr>
          <w:rFonts w:hint="eastAsia" w:ascii="黑体" w:hAnsi="黑体" w:eastAsia="黑体"/>
          <w:sz w:val="32"/>
          <w:szCs w:val="32"/>
        </w:rPr>
        <w:t>九、政府性基金“三公”经费支出总体情况</w:t>
      </w:r>
    </w:p>
    <w:p w14:paraId="7B3FFF8F">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1509353B">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6F782BE9">
      <w:pPr>
        <w:rPr>
          <w:rFonts w:ascii="仿宋" w:hAnsi="仿宋" w:eastAsia="仿宋"/>
          <w:sz w:val="32"/>
          <w:szCs w:val="32"/>
        </w:rPr>
      </w:pPr>
    </w:p>
    <w:p w14:paraId="430AD1DD">
      <w:pPr>
        <w:rPr>
          <w:rFonts w:ascii="仿宋" w:hAnsi="仿宋" w:eastAsia="仿宋"/>
          <w:sz w:val="32"/>
          <w:szCs w:val="32"/>
        </w:rPr>
      </w:pPr>
    </w:p>
    <w:p w14:paraId="1EE57BF8">
      <w:pPr>
        <w:jc w:val="center"/>
        <w:rPr>
          <w:rFonts w:hint="eastAsia" w:ascii="方正小标宋简体" w:hAnsi="仿宋" w:eastAsia="方正小标宋简体"/>
          <w:sz w:val="32"/>
          <w:szCs w:val="32"/>
        </w:rPr>
      </w:pPr>
    </w:p>
    <w:p w14:paraId="7C3A8224">
      <w:pPr>
        <w:jc w:val="center"/>
        <w:rPr>
          <w:rFonts w:hint="eastAsia" w:ascii="方正小标宋简体" w:hAnsi="仿宋" w:eastAsia="方正小标宋简体"/>
          <w:sz w:val="32"/>
          <w:szCs w:val="32"/>
        </w:rPr>
      </w:pPr>
    </w:p>
    <w:p w14:paraId="7F2A618A">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第一部分</w:t>
      </w:r>
      <w:r>
        <w:rPr>
          <w:rFonts w:hint="eastAsia" w:ascii="方正小标宋简体" w:hAnsi="仿宋" w:eastAsia="方正小标宋简体"/>
          <w:sz w:val="32"/>
          <w:szCs w:val="32"/>
          <w:lang w:val="en-US" w:eastAsia="zh-CN"/>
        </w:rPr>
        <w:t xml:space="preserve">    </w:t>
      </w:r>
      <w:r>
        <w:rPr>
          <w:rFonts w:hint="eastAsia" w:ascii="方正小标宋简体" w:hAnsi="仿宋" w:eastAsia="方正小标宋简体"/>
          <w:sz w:val="32"/>
          <w:szCs w:val="32"/>
          <w:lang w:eastAsia="zh-CN"/>
        </w:rPr>
        <w:t>中共班戈县委社会工作部</w:t>
      </w:r>
      <w:r>
        <w:rPr>
          <w:rFonts w:hint="eastAsia" w:ascii="方正小标宋简体" w:hAnsi="仿宋" w:eastAsia="方正小标宋简体"/>
          <w:sz w:val="32"/>
          <w:szCs w:val="32"/>
        </w:rPr>
        <w:t>概况</w:t>
      </w:r>
    </w:p>
    <w:p w14:paraId="19F27B9E">
      <w:pPr>
        <w:jc w:val="center"/>
        <w:rPr>
          <w:rFonts w:hint="default" w:ascii="方正小标宋简体" w:hAnsi="仿宋" w:eastAsia="方正小标宋简体"/>
          <w:sz w:val="32"/>
          <w:szCs w:val="32"/>
          <w:lang w:val="en-US" w:eastAsia="zh-CN"/>
        </w:rPr>
      </w:pPr>
    </w:p>
    <w:p w14:paraId="0D52A0D3">
      <w:pPr>
        <w:ind w:firstLine="640" w:firstLineChars="200"/>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val="en-US" w:eastAsia="zh-CN"/>
        </w:rPr>
        <w:t>一</w:t>
      </w:r>
      <w:r>
        <w:rPr>
          <w:rFonts w:hint="eastAsia" w:ascii="方正黑体简体" w:hAnsi="方正黑体简体" w:eastAsia="方正黑体简体" w:cs="方正黑体简体"/>
          <w:b w:val="0"/>
          <w:bCs/>
          <w:sz w:val="32"/>
          <w:szCs w:val="32"/>
        </w:rPr>
        <w:t>、部门职责和机构设置</w:t>
      </w:r>
    </w:p>
    <w:p w14:paraId="20B955E9">
      <w:pPr>
        <w:spacing w:line="578"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（一）研究相关理论、政策和规划，贯彻落实社会领域党内法规、地方性法规和相关规范性文件并组织实施。深入调查研究，及时向县委报告工作情况并提出建议。指导乡镇开展社会工作事宜。</w:t>
      </w:r>
    </w:p>
    <w:p w14:paraId="69B80C7E">
      <w:pPr>
        <w:spacing w:line="578"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二）统筹指导群众利益协调、诉求表达、矛盾调处、权益保障等人民信访工作，协调解决人民群众急难愁盼问题。指导人民建议征集工作，负责征集、办理公民、法人和其他组织提出的意见建议，并向县委、县政府及上报告。</w:t>
      </w:r>
    </w:p>
    <w:p w14:paraId="3FDE6A5A">
      <w:pPr>
        <w:spacing w:line="578"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（三）统筹推进党建引领基层治理和基层政权建设，协调推进城乡社区治理，推动基层民主政治建设，指导监督基层群众自治制度的有效实施，健全基层群众自治机制。</w:t>
      </w:r>
    </w:p>
    <w:p w14:paraId="7DE261BD">
      <w:pPr>
        <w:spacing w:line="578"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（四）指导全县性社会组织党建工作，统一领导全县性行业协会商会党建工作，协调推动行业协会商会深化改革和转型发展。</w:t>
      </w:r>
    </w:p>
    <w:p w14:paraId="338B8F17">
      <w:pPr>
        <w:spacing w:line="578"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五）指导混合所有制企业、非公有制企业和新经济组织、新社会组织、新就业群体（以下简称“两企三新”）党建工作，指导协调相关企业单位、社会组织、就业群体中党员的教育、管理、监督和服务工作，研究完善相关领域群众利益协调制度。负责加强新兴领域人员的政治引领、思想引领，并做好服务联系工作，保障其合法权益。</w:t>
      </w:r>
    </w:p>
    <w:p w14:paraId="641CF72A">
      <w:pPr>
        <w:spacing w:line="578"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（六）负责全县志愿服务工作的统筹规划、协调指导、督促检查和经验推广。指导社会工作人才队伍建设。</w:t>
      </w:r>
    </w:p>
    <w:p w14:paraId="31846081">
      <w:pPr>
        <w:spacing w:line="578"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（七）处理人民群众、法人及其他组织向县委、县政府及其领导同志的来信，受理、转送、交办通过信访渠道提出的信访事项，接待来访。</w:t>
      </w:r>
    </w:p>
    <w:p w14:paraId="776DE9B6">
      <w:pPr>
        <w:spacing w:line="578"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（八）负责向县委、县政府反应通过信访渠道提出的重要建议、意见和问题，综合分析研判信访形势，开展调查研究，提出解决问题的意见建议。</w:t>
      </w:r>
    </w:p>
    <w:p w14:paraId="4CCFE678">
      <w:pPr>
        <w:spacing w:line="578"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（九）负责督查县领导同志有关批示件的落实情况。承办国家信访局和自治区党委、自治区政府，市委、市政府，县委、县政府交办的信访事项，督促检查重要信访事项的处理和落实。</w:t>
      </w:r>
    </w:p>
    <w:p w14:paraId="18679BBE">
      <w:pPr>
        <w:spacing w:line="578"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（十）协调处理跨地区、跨部门、跨行业及人事分离、人户分离、人事户分离的“三跨三分离”重要信访问题。</w:t>
      </w:r>
    </w:p>
    <w:p w14:paraId="4AFF165B">
      <w:pPr>
        <w:spacing w:line="578"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（十一）指导各乡镇和县直各部门（单位）的信访工作，提出改进工作、完善政策和追究责任的建议。</w:t>
      </w:r>
    </w:p>
    <w:p w14:paraId="5ABD92F3">
      <w:pPr>
        <w:spacing w:line="578"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（十二）制定信访工作制度，增强信访工作的预见性、针对性和科学性。</w:t>
      </w:r>
    </w:p>
    <w:p w14:paraId="222BD348">
      <w:pPr>
        <w:spacing w:line="578"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（十三）承担县信访工作联席会议的日常工作，督促落实联席会议相关事项。</w:t>
      </w:r>
    </w:p>
    <w:p w14:paraId="71A2E5F4">
      <w:pPr>
        <w:spacing w:line="578" w:lineRule="exact"/>
        <w:ind w:firstLine="608" w:firstLineChars="200"/>
        <w:rPr>
          <w:rFonts w:hint="eastAsia" w:ascii="仿宋" w:hAnsi="仿宋" w:eastAsia="仿宋" w:cs="Times New Roman"/>
          <w:w w:val="95"/>
          <w:sz w:val="32"/>
          <w:szCs w:val="32"/>
          <w:lang w:val="en-US" w:eastAsia="zh-CN"/>
        </w:rPr>
      </w:pPr>
      <w:r>
        <w:rPr>
          <w:rFonts w:hint="eastAsia" w:ascii="仿宋" w:hAnsi="仿宋" w:eastAsia="仿宋" w:cs="Times New Roman"/>
          <w:w w:val="95"/>
          <w:sz w:val="32"/>
          <w:szCs w:val="32"/>
          <w:lang w:val="en-US" w:eastAsia="zh-CN"/>
        </w:rPr>
        <w:t>（十四）加强信访工作、法律法规的宣传教育和信息发布。</w:t>
      </w:r>
    </w:p>
    <w:p w14:paraId="2FAC2590">
      <w:pPr>
        <w:spacing w:line="578"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（十五）完成县委、县政府交办的其他任务。</w:t>
      </w:r>
    </w:p>
    <w:p w14:paraId="344AA1CA">
      <w:pPr>
        <w:ind w:firstLine="640" w:firstLineChars="200"/>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二、部门（单位）机构设置情况</w:t>
      </w:r>
    </w:p>
    <w:p w14:paraId="0567B0EA">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县委社会工作部是县委职能部门，为正科级。县委社会工作部加挂中共班戈县委员会非公有制经济组织和社会组织工作委员会（县委“两新”工委）、县信访局。</w:t>
      </w:r>
    </w:p>
    <w:p w14:paraId="208BCC10">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县委社会工作部机关行政编制</w:t>
      </w:r>
      <w:r>
        <w:rPr>
          <w:rFonts w:hint="default" w:ascii="Times New Roman" w:hAnsi="Times New Roman" w:eastAsia="仿宋" w:cs="Times New Roman"/>
          <w:sz w:val="32"/>
          <w:szCs w:val="32"/>
          <w:lang w:val="en-US" w:eastAsia="zh-CN"/>
        </w:rPr>
        <w:t>5名。部门领导职数4名，部长1名、副部长3名（分管信访工作的副部长为正科级）。</w:t>
      </w:r>
    </w:p>
    <w:p w14:paraId="27ED1199">
      <w:pPr>
        <w:ind w:firstLine="2560" w:firstLineChars="800"/>
        <w:jc w:val="both"/>
        <w:rPr>
          <w:rFonts w:hint="eastAsia" w:ascii="方正小标宋简体" w:hAnsi="仿宋" w:eastAsia="方正小标宋简体"/>
          <w:sz w:val="32"/>
          <w:szCs w:val="32"/>
        </w:rPr>
      </w:pPr>
      <w:bookmarkStart w:id="0" w:name="_GoBack"/>
      <w:bookmarkEnd w:id="0"/>
    </w:p>
    <w:p w14:paraId="0B04417E">
      <w:pPr>
        <w:ind w:firstLine="2560" w:firstLineChars="800"/>
        <w:jc w:val="both"/>
        <w:rPr>
          <w:rFonts w:hint="eastAsia" w:ascii="方正小标宋简体" w:hAnsi="仿宋" w:eastAsia="方正小标宋简体"/>
          <w:sz w:val="32"/>
          <w:szCs w:val="32"/>
        </w:rPr>
      </w:pPr>
    </w:p>
    <w:p w14:paraId="06859E4B">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r>
        <w:rPr>
          <w:rFonts w:hint="eastAsia" w:ascii="方正小标宋简体" w:hAnsi="仿宋" w:eastAsia="方正小标宋简体"/>
          <w:sz w:val="32"/>
          <w:szCs w:val="32"/>
          <w:lang w:val="en-US" w:eastAsia="zh-CN"/>
        </w:rPr>
        <w:t xml:space="preserve"> </w:t>
      </w:r>
      <w:r>
        <w:rPr>
          <w:rFonts w:hint="eastAsia" w:ascii="方正小标宋简体" w:hAnsi="仿宋" w:eastAsia="方正小标宋简体"/>
          <w:sz w:val="32"/>
          <w:szCs w:val="32"/>
          <w:lang w:eastAsia="zh-CN"/>
        </w:rPr>
        <w:t>中共班戈县委社会工作部2025</w:t>
      </w:r>
      <w:r>
        <w:rPr>
          <w:rFonts w:hint="eastAsia" w:ascii="方正小标宋简体" w:hAnsi="仿宋" w:eastAsia="方正小标宋简体"/>
          <w:sz w:val="32"/>
          <w:szCs w:val="32"/>
        </w:rPr>
        <w:t>年度预算明细表</w:t>
      </w:r>
    </w:p>
    <w:p w14:paraId="10A4E4E5">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633FFC3C">
      <w:pPr>
        <w:ind w:firstLine="640" w:firstLineChars="200"/>
        <w:rPr>
          <w:rFonts w:hint="eastAsia"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14:paraId="64ACF2E6">
      <w:pPr>
        <w:jc w:val="both"/>
        <w:rPr>
          <w:rFonts w:hint="eastAsia" w:ascii="黑体" w:hAnsi="黑体" w:eastAsia="黑体"/>
          <w:sz w:val="32"/>
          <w:szCs w:val="32"/>
        </w:rPr>
      </w:pPr>
    </w:p>
    <w:p w14:paraId="189D02BF">
      <w:pPr>
        <w:jc w:val="center"/>
        <w:rPr>
          <w:rFonts w:hint="eastAsia" w:ascii="方正小标宋简体" w:hAnsi="仿宋" w:eastAsia="方正小标宋简体"/>
          <w:sz w:val="32"/>
          <w:szCs w:val="32"/>
          <w:lang w:val="en-US" w:eastAsia="zh-CN"/>
        </w:rPr>
      </w:pPr>
      <w:r>
        <w:rPr>
          <w:rFonts w:hint="eastAsia" w:ascii="方正小标宋简体" w:hAnsi="仿宋" w:eastAsia="方正小标宋简体"/>
          <w:sz w:val="32"/>
          <w:szCs w:val="32"/>
        </w:rPr>
        <w:t>第三部分</w:t>
      </w:r>
      <w:r>
        <w:rPr>
          <w:rFonts w:hint="eastAsia" w:ascii="方正小标宋简体" w:hAnsi="仿宋" w:eastAsia="方正小标宋简体"/>
          <w:sz w:val="32"/>
          <w:szCs w:val="32"/>
          <w:lang w:val="en-US" w:eastAsia="zh-CN"/>
        </w:rPr>
        <w:t xml:space="preserve"> </w:t>
      </w:r>
    </w:p>
    <w:p w14:paraId="07212836">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中共班戈县委社会工作部2025</w:t>
      </w:r>
      <w:r>
        <w:rPr>
          <w:rFonts w:hint="eastAsia" w:ascii="方正小标宋简体" w:hAnsi="仿宋" w:eastAsia="方正小标宋简体"/>
          <w:sz w:val="32"/>
          <w:szCs w:val="32"/>
        </w:rPr>
        <w:t>年度部门预算数据分析</w:t>
      </w:r>
    </w:p>
    <w:p w14:paraId="6B94604F">
      <w:pPr>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一、202</w:t>
      </w:r>
      <w:r>
        <w:rPr>
          <w:rFonts w:hint="eastAsia" w:ascii="黑体" w:hAnsi="黑体" w:eastAsia="黑体"/>
          <w:sz w:val="32"/>
          <w:szCs w:val="32"/>
          <w:lang w:val="en-US" w:eastAsia="zh-CN"/>
        </w:rPr>
        <w:t>5</w:t>
      </w:r>
      <w:r>
        <w:rPr>
          <w:rFonts w:hint="eastAsia" w:ascii="黑体" w:hAnsi="黑体" w:eastAsia="黑体"/>
          <w:sz w:val="32"/>
          <w:szCs w:val="32"/>
          <w:lang w:eastAsia="zh-CN"/>
        </w:rPr>
        <w:t>年度财政拨款收支预算情况总体说明</w:t>
      </w:r>
    </w:p>
    <w:p w14:paraId="37A4EFEE">
      <w:pPr>
        <w:spacing w:line="578" w:lineRule="exact"/>
        <w:ind w:firstLine="640" w:firstLineChars="200"/>
        <w:rPr>
          <w:rFonts w:hint="default" w:ascii="Times New Roman" w:hAnsi="Times New Roman" w:eastAsia="仿宋" w:cs="Times New Roman"/>
          <w:sz w:val="32"/>
          <w:szCs w:val="32"/>
        </w:rPr>
      </w:pPr>
      <w:r>
        <w:rPr>
          <w:rFonts w:hint="default" w:ascii="Times New Roman" w:hAnsi="Times New Roman" w:eastAsia="方正仿宋简体" w:cs="Times New Roman"/>
          <w:sz w:val="32"/>
          <w:szCs w:val="32"/>
          <w:lang w:eastAsia="zh-CN"/>
        </w:rPr>
        <w:t>202</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eastAsia="zh-CN"/>
        </w:rPr>
        <w:t>年财政拨款收支总预算</w:t>
      </w:r>
      <w:r>
        <w:rPr>
          <w:rFonts w:hint="default" w:ascii="Times New Roman" w:hAnsi="Times New Roman" w:eastAsia="方正仿宋简体" w:cs="Times New Roman"/>
          <w:sz w:val="32"/>
          <w:szCs w:val="32"/>
          <w:lang w:val="en-US" w:eastAsia="zh-CN"/>
        </w:rPr>
        <w:t>560.55</w:t>
      </w:r>
      <w:r>
        <w:rPr>
          <w:rFonts w:hint="default" w:ascii="Times New Roman" w:hAnsi="Times New Roman" w:eastAsia="方正仿宋简体" w:cs="Times New Roman"/>
          <w:sz w:val="32"/>
          <w:szCs w:val="32"/>
          <w:lang w:eastAsia="zh-CN"/>
        </w:rPr>
        <w:t xml:space="preserve"> 万元。收入为一般公共预算拨款</w:t>
      </w:r>
      <w:r>
        <w:rPr>
          <w:rFonts w:hint="default" w:ascii="Times New Roman" w:hAnsi="Times New Roman" w:eastAsia="方正仿宋简体" w:cs="Times New Roman"/>
          <w:sz w:val="32"/>
          <w:szCs w:val="32"/>
          <w:lang w:val="en-US" w:eastAsia="zh-CN"/>
        </w:rPr>
        <w:t>560.55万元</w:t>
      </w:r>
      <w:r>
        <w:rPr>
          <w:rFonts w:hint="default" w:ascii="Times New Roman" w:hAnsi="Times New Roman" w:eastAsia="方正仿宋简体" w:cs="Times New Roman"/>
          <w:sz w:val="32"/>
          <w:szCs w:val="32"/>
          <w:lang w:eastAsia="zh-CN"/>
        </w:rPr>
        <w:t>，包括：一般公共预算当年拨款收入</w:t>
      </w:r>
      <w:r>
        <w:rPr>
          <w:rFonts w:hint="default" w:ascii="Times New Roman" w:hAnsi="Times New Roman" w:eastAsia="方正仿宋简体" w:cs="Times New Roman"/>
          <w:sz w:val="32"/>
          <w:szCs w:val="32"/>
          <w:lang w:val="en-US" w:eastAsia="zh-CN"/>
        </w:rPr>
        <w:t>560.55</w:t>
      </w:r>
      <w:r>
        <w:rPr>
          <w:rFonts w:hint="default" w:ascii="Times New Roman" w:hAnsi="Times New Roman" w:eastAsia="方正仿宋简体" w:cs="Times New Roman"/>
          <w:sz w:val="32"/>
          <w:szCs w:val="32"/>
          <w:lang w:eastAsia="zh-CN"/>
        </w:rPr>
        <w:t xml:space="preserve">万元、上年结转 </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lang w:eastAsia="zh-CN"/>
        </w:rPr>
        <w:t>万元；支出包括：一般公共服务支出</w:t>
      </w:r>
      <w:r>
        <w:rPr>
          <w:rFonts w:hint="default" w:ascii="Times New Roman" w:hAnsi="Times New Roman" w:eastAsia="方正仿宋简体" w:cs="Times New Roman"/>
          <w:sz w:val="32"/>
          <w:szCs w:val="32"/>
          <w:lang w:val="en-US" w:eastAsia="zh-CN"/>
        </w:rPr>
        <w:t>493.13</w:t>
      </w:r>
      <w:r>
        <w:rPr>
          <w:rFonts w:hint="default" w:ascii="Times New Roman" w:hAnsi="Times New Roman" w:eastAsia="方正仿宋简体" w:cs="Times New Roman"/>
          <w:sz w:val="32"/>
          <w:szCs w:val="32"/>
          <w:lang w:eastAsia="zh-CN"/>
        </w:rPr>
        <w:t xml:space="preserve"> 万元、社会保障和就业支出</w:t>
      </w:r>
      <w:r>
        <w:rPr>
          <w:rFonts w:hint="default" w:ascii="Times New Roman" w:hAnsi="Times New Roman" w:eastAsia="方正仿宋简体" w:cs="Times New Roman"/>
          <w:sz w:val="32"/>
          <w:szCs w:val="32"/>
          <w:lang w:val="en-US" w:eastAsia="zh-CN"/>
        </w:rPr>
        <w:t>28.37</w:t>
      </w:r>
      <w:r>
        <w:rPr>
          <w:rFonts w:hint="default" w:ascii="Times New Roman" w:hAnsi="Times New Roman" w:eastAsia="方正仿宋简体" w:cs="Times New Roman"/>
          <w:sz w:val="32"/>
          <w:szCs w:val="32"/>
          <w:lang w:eastAsia="zh-CN"/>
        </w:rPr>
        <w:t>万元、卫生健康支出</w:t>
      </w:r>
      <w:r>
        <w:rPr>
          <w:rFonts w:hint="default" w:ascii="Times New Roman" w:hAnsi="Times New Roman" w:eastAsia="方正仿宋简体" w:cs="Times New Roman"/>
          <w:sz w:val="32"/>
          <w:szCs w:val="32"/>
          <w:lang w:val="en-US" w:eastAsia="zh-CN"/>
        </w:rPr>
        <w:t>18.29</w:t>
      </w:r>
      <w:r>
        <w:rPr>
          <w:rFonts w:hint="default" w:ascii="Times New Roman" w:hAnsi="Times New Roman" w:eastAsia="方正仿宋简体" w:cs="Times New Roman"/>
          <w:sz w:val="32"/>
          <w:szCs w:val="32"/>
          <w:lang w:eastAsia="zh-CN"/>
        </w:rPr>
        <w:t>万元、住房保障支出</w:t>
      </w:r>
      <w:r>
        <w:rPr>
          <w:rFonts w:hint="default" w:ascii="Times New Roman" w:hAnsi="Times New Roman" w:eastAsia="方正仿宋简体" w:cs="Times New Roman"/>
          <w:sz w:val="32"/>
          <w:szCs w:val="32"/>
          <w:lang w:val="en-US" w:eastAsia="zh-CN"/>
        </w:rPr>
        <w:t>20.76</w:t>
      </w:r>
      <w:r>
        <w:rPr>
          <w:rFonts w:hint="default" w:ascii="Times New Roman" w:hAnsi="Times New Roman" w:eastAsia="方正仿宋简体" w:cs="Times New Roman"/>
          <w:sz w:val="32"/>
          <w:szCs w:val="32"/>
          <w:lang w:eastAsia="zh-CN"/>
        </w:rPr>
        <w:t>万元。</w:t>
      </w:r>
    </w:p>
    <w:p w14:paraId="6E84DCDA">
      <w:pPr>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二、202</w:t>
      </w:r>
      <w:r>
        <w:rPr>
          <w:rFonts w:hint="eastAsia" w:ascii="黑体" w:hAnsi="黑体" w:eastAsia="黑体"/>
          <w:sz w:val="32"/>
          <w:szCs w:val="32"/>
          <w:lang w:val="en-US" w:eastAsia="zh-CN"/>
        </w:rPr>
        <w:t>5</w:t>
      </w:r>
      <w:r>
        <w:rPr>
          <w:rFonts w:hint="eastAsia" w:ascii="黑体" w:hAnsi="黑体" w:eastAsia="黑体"/>
          <w:sz w:val="32"/>
          <w:szCs w:val="32"/>
          <w:lang w:eastAsia="zh-CN"/>
        </w:rPr>
        <w:t>年度一般公共预算当年财政拨款情况说明</w:t>
      </w:r>
    </w:p>
    <w:p w14:paraId="675A927B">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（一）</w:t>
      </w:r>
      <w:r>
        <w:rPr>
          <w:rFonts w:hint="default" w:ascii="Times New Roman" w:hAnsi="Times New Roman" w:eastAsia="方正仿宋简体" w:cs="Times New Roman"/>
          <w:sz w:val="32"/>
          <w:szCs w:val="32"/>
        </w:rPr>
        <w:t>一般公共预算当年拨款规模变化情况</w:t>
      </w:r>
    </w:p>
    <w:p w14:paraId="13450068">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202</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eastAsia="zh-CN"/>
        </w:rPr>
        <w:t>年</w:t>
      </w:r>
      <w:r>
        <w:rPr>
          <w:rFonts w:hint="default" w:ascii="Times New Roman" w:hAnsi="Times New Roman" w:eastAsia="方正仿宋简体" w:cs="Times New Roman"/>
          <w:sz w:val="32"/>
          <w:szCs w:val="32"/>
        </w:rPr>
        <w:t>一般公共预算当年拨款</w:t>
      </w:r>
      <w:r>
        <w:rPr>
          <w:rFonts w:hint="default" w:ascii="Times New Roman" w:hAnsi="Times New Roman" w:eastAsia="方正仿宋简体" w:cs="Times New Roman"/>
          <w:sz w:val="32"/>
          <w:szCs w:val="32"/>
          <w:lang w:val="en-US" w:eastAsia="zh-CN"/>
        </w:rPr>
        <w:t>560.55</w:t>
      </w:r>
      <w:r>
        <w:rPr>
          <w:rFonts w:hint="default" w:ascii="Times New Roman" w:hAnsi="Times New Roman" w:eastAsia="方正仿宋简体" w:cs="Times New Roman"/>
          <w:sz w:val="32"/>
          <w:szCs w:val="32"/>
        </w:rPr>
        <w:t xml:space="preserve"> 万元,</w:t>
      </w:r>
    </w:p>
    <w:p w14:paraId="5CF2046A">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（二）一般公共预算当年拨款结构情况</w:t>
      </w:r>
    </w:p>
    <w:p w14:paraId="194E1F3E">
      <w:pPr>
        <w:spacing w:line="578" w:lineRule="exact"/>
        <w:ind w:firstLine="640" w:firstLineChars="200"/>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sz w:val="32"/>
          <w:szCs w:val="32"/>
        </w:rPr>
        <w:t>一般公共服务支出</w:t>
      </w:r>
      <w:r>
        <w:rPr>
          <w:rFonts w:hint="default" w:ascii="Times New Roman" w:hAnsi="Times New Roman" w:eastAsia="方正仿宋简体" w:cs="Times New Roman"/>
          <w:sz w:val="32"/>
          <w:szCs w:val="32"/>
          <w:lang w:val="en-US" w:eastAsia="zh-CN"/>
        </w:rPr>
        <w:t>493.13</w:t>
      </w:r>
      <w:r>
        <w:rPr>
          <w:rFonts w:hint="default" w:ascii="Times New Roman" w:hAnsi="Times New Roman" w:eastAsia="方正仿宋简体" w:cs="Times New Roman"/>
          <w:sz w:val="32"/>
          <w:szCs w:val="32"/>
        </w:rPr>
        <w:t>万元、社会保障和就业支出</w:t>
      </w:r>
      <w:r>
        <w:rPr>
          <w:rFonts w:hint="default" w:ascii="Times New Roman" w:hAnsi="Times New Roman" w:eastAsia="方正仿宋简体" w:cs="Times New Roman"/>
          <w:sz w:val="32"/>
          <w:szCs w:val="32"/>
          <w:lang w:val="en-US" w:eastAsia="zh-CN"/>
        </w:rPr>
        <w:t>28.37</w:t>
      </w:r>
      <w:r>
        <w:rPr>
          <w:rFonts w:hint="default" w:ascii="Times New Roman" w:hAnsi="Times New Roman" w:eastAsia="方正仿宋简体" w:cs="Times New Roman"/>
          <w:sz w:val="32"/>
          <w:szCs w:val="32"/>
        </w:rPr>
        <w:t>万元、卫生健康支出</w:t>
      </w:r>
      <w:r>
        <w:rPr>
          <w:rFonts w:hint="default" w:ascii="Times New Roman" w:hAnsi="Times New Roman" w:eastAsia="方正仿宋简体" w:cs="Times New Roman"/>
          <w:sz w:val="32"/>
          <w:szCs w:val="32"/>
          <w:lang w:val="en-US" w:eastAsia="zh-CN"/>
        </w:rPr>
        <w:t>18.29</w:t>
      </w:r>
      <w:r>
        <w:rPr>
          <w:rFonts w:hint="default" w:ascii="Times New Roman" w:hAnsi="Times New Roman" w:eastAsia="方正仿宋简体" w:cs="Times New Roman"/>
          <w:sz w:val="32"/>
          <w:szCs w:val="32"/>
        </w:rPr>
        <w:t>万元、住房保障支出</w:t>
      </w:r>
      <w:r>
        <w:rPr>
          <w:rFonts w:hint="default" w:ascii="Times New Roman" w:hAnsi="Times New Roman" w:eastAsia="方正仿宋简体" w:cs="Times New Roman"/>
          <w:sz w:val="32"/>
          <w:szCs w:val="32"/>
          <w:lang w:val="en-US" w:eastAsia="zh-CN"/>
        </w:rPr>
        <w:t>20.76</w:t>
      </w:r>
      <w:r>
        <w:rPr>
          <w:rFonts w:hint="default" w:ascii="Times New Roman" w:hAnsi="Times New Roman" w:eastAsia="方正仿宋简体" w:cs="Times New Roman"/>
          <w:sz w:val="32"/>
          <w:szCs w:val="32"/>
        </w:rPr>
        <w:t>万元。</w:t>
      </w:r>
    </w:p>
    <w:p w14:paraId="01771F07">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（三）</w:t>
      </w:r>
      <w:r>
        <w:rPr>
          <w:rFonts w:hint="default" w:ascii="Times New Roman" w:hAnsi="Times New Roman" w:eastAsia="方正仿宋简体" w:cs="Times New Roman"/>
          <w:sz w:val="32"/>
          <w:szCs w:val="32"/>
        </w:rPr>
        <w:t>一般公共预算当年拨款具体使用情况</w:t>
      </w:r>
    </w:p>
    <w:p w14:paraId="21F9F053">
      <w:pPr>
        <w:spacing w:line="578" w:lineRule="exact"/>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基本支出总金额为</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488.55万元，其中工资福利支出251.21万元，用于我委干部职工工资及保险等方面，商品服务支出19.81万元，个人和家庭补助支出217.53万元。</w:t>
      </w:r>
    </w:p>
    <w:p w14:paraId="3D893346">
      <w:pPr>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三、202</w:t>
      </w:r>
      <w:r>
        <w:rPr>
          <w:rFonts w:hint="eastAsia" w:ascii="黑体" w:hAnsi="黑体" w:eastAsia="黑体"/>
          <w:sz w:val="32"/>
          <w:szCs w:val="32"/>
          <w:lang w:val="en-US" w:eastAsia="zh-CN"/>
        </w:rPr>
        <w:t>5</w:t>
      </w:r>
      <w:r>
        <w:rPr>
          <w:rFonts w:hint="eastAsia" w:ascii="黑体" w:hAnsi="黑体" w:eastAsia="黑体"/>
          <w:sz w:val="32"/>
          <w:szCs w:val="32"/>
          <w:lang w:eastAsia="zh-CN"/>
        </w:rPr>
        <w:t>年度一般公共预算基本支出情况说明</w:t>
      </w:r>
    </w:p>
    <w:p w14:paraId="2D800124">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202</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eastAsia="zh-CN"/>
        </w:rPr>
        <w:t>年</w:t>
      </w:r>
      <w:r>
        <w:rPr>
          <w:rFonts w:hint="default" w:ascii="Times New Roman" w:hAnsi="Times New Roman" w:eastAsia="方正仿宋简体" w:cs="Times New Roman"/>
          <w:sz w:val="32"/>
          <w:szCs w:val="32"/>
        </w:rPr>
        <w:t xml:space="preserve">一般公共预算基本支出 </w:t>
      </w:r>
      <w:r>
        <w:rPr>
          <w:rFonts w:hint="default" w:ascii="Times New Roman" w:hAnsi="Times New Roman" w:eastAsia="方正仿宋简体" w:cs="Times New Roman"/>
          <w:sz w:val="32"/>
          <w:szCs w:val="32"/>
          <w:lang w:val="en-US" w:eastAsia="zh-CN"/>
        </w:rPr>
        <w:t>488.55</w:t>
      </w:r>
      <w:r>
        <w:rPr>
          <w:rFonts w:hint="default" w:ascii="Times New Roman" w:hAnsi="Times New Roman" w:eastAsia="方正仿宋简体" w:cs="Times New Roman"/>
          <w:sz w:val="32"/>
          <w:szCs w:val="32"/>
        </w:rPr>
        <w:t>万元，其中：人员经费</w:t>
      </w:r>
      <w:r>
        <w:rPr>
          <w:rFonts w:hint="default" w:ascii="Times New Roman" w:hAnsi="Times New Roman" w:eastAsia="方正仿宋简体" w:cs="Times New Roman"/>
          <w:sz w:val="32"/>
          <w:szCs w:val="32"/>
          <w:lang w:val="en-US" w:eastAsia="zh-CN"/>
        </w:rPr>
        <w:t>468.74</w:t>
      </w:r>
      <w:r>
        <w:rPr>
          <w:rFonts w:hint="default" w:ascii="Times New Roman" w:hAnsi="Times New Roman" w:eastAsia="方正仿宋简体" w:cs="Times New Roman"/>
          <w:sz w:val="32"/>
          <w:szCs w:val="32"/>
        </w:rPr>
        <w:t>万元，主要包括（以下内容根据部门具体情况进行填列）：工资性支出（基本工资、津贴补贴、奖金）、机关事业单位养老保险缴费、城镇职工基本医疗保险缴费、公务员医疗补助、其他社会保险缴费（失业保险、工伤保险）、其他工资福利支出（个人取暖费、独生子女费、煤油补贴、加班补助、休假探亲费、乡镇教职工生活补助、特级教师津贴、其他工资福利支出）、职业年金缴费、住房公积金、医疗费、对个人和家庭的补助（抚恤金、生活补助、救济费、医疗费补助、助学金、其他对个人和家庭的补助）、其他对个人和家庭的补助（学生助学金、三包经费、学生奖学金、免费教育经费等、营养改善计划试点资金、班主任津贴、西部计划志愿者生活补助）。</w:t>
      </w:r>
    </w:p>
    <w:p w14:paraId="75E212C7">
      <w:pPr>
        <w:spacing w:line="578" w:lineRule="exact"/>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公用经费</w:t>
      </w:r>
      <w:r>
        <w:rPr>
          <w:rFonts w:hint="default" w:ascii="Times New Roman" w:hAnsi="Times New Roman" w:eastAsia="方正仿宋简体" w:cs="Times New Roman"/>
          <w:sz w:val="32"/>
          <w:szCs w:val="32"/>
          <w:lang w:val="en-US" w:eastAsia="zh-CN"/>
        </w:rPr>
        <w:t>19.81</w:t>
      </w:r>
      <w:r>
        <w:rPr>
          <w:rFonts w:hint="default" w:ascii="Times New Roman" w:hAnsi="Times New Roman" w:eastAsia="方正仿宋简体" w:cs="Times New Roman"/>
          <w:sz w:val="32"/>
          <w:szCs w:val="32"/>
        </w:rPr>
        <w:t>万元，主要包括（以下内容根据部门具体情况进行填列）：商品和服务支出（办公费、印刷费、咨询费、手续费、水费、电费、邮电费、取暖费、物业管理费、差旅费、因公出国(境)费用、维修(护)费、租赁费、会议费、培训费、公务接待费、专用材料费、被装购置费、专用燃料费、劳务费、委托业务费、福利费、公务用车运行维护费、其他交通费用、税金及附加费用、公务通讯补贴、离退休人员公用经费、电梯运行维护费、食堂补助、邮寄费、其他商品和服务支出）、工会经费。</w:t>
      </w:r>
    </w:p>
    <w:p w14:paraId="5AD22439">
      <w:pPr>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四、202</w:t>
      </w:r>
      <w:r>
        <w:rPr>
          <w:rFonts w:hint="eastAsia" w:ascii="黑体" w:hAnsi="黑体" w:eastAsia="黑体"/>
          <w:sz w:val="32"/>
          <w:szCs w:val="32"/>
          <w:lang w:val="en-US" w:eastAsia="zh-CN"/>
        </w:rPr>
        <w:t>5</w:t>
      </w:r>
      <w:r>
        <w:rPr>
          <w:rFonts w:hint="eastAsia" w:ascii="黑体" w:hAnsi="黑体" w:eastAsia="黑体"/>
          <w:sz w:val="32"/>
          <w:szCs w:val="32"/>
          <w:lang w:eastAsia="zh-CN"/>
        </w:rPr>
        <w:t>年度一般公共预算“三公”经费预算情况说明。</w:t>
      </w:r>
    </w:p>
    <w:p w14:paraId="5B59CFFC">
      <w:pPr>
        <w:spacing w:line="578" w:lineRule="exact"/>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2025年我单位“三公”经费预算4.83万元，我单位用车运行维护经费主要用于车辆油料。</w:t>
      </w:r>
    </w:p>
    <w:p w14:paraId="158C2F27">
      <w:pPr>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五、202</w:t>
      </w:r>
      <w:r>
        <w:rPr>
          <w:rFonts w:hint="eastAsia" w:ascii="黑体" w:hAnsi="黑体" w:eastAsia="黑体"/>
          <w:sz w:val="32"/>
          <w:szCs w:val="32"/>
          <w:lang w:val="en-US" w:eastAsia="zh-CN"/>
        </w:rPr>
        <w:t>5</w:t>
      </w:r>
      <w:r>
        <w:rPr>
          <w:rFonts w:hint="eastAsia" w:ascii="黑体" w:hAnsi="黑体" w:eastAsia="黑体"/>
          <w:sz w:val="32"/>
          <w:szCs w:val="32"/>
          <w:lang w:eastAsia="zh-CN"/>
        </w:rPr>
        <w:t>年度政府性基金预算支出情况说明</w:t>
      </w:r>
    </w:p>
    <w:p w14:paraId="72A62E0E">
      <w:pPr>
        <w:spacing w:line="578"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我单位2025年度没有使用政府性基金安排的支出。</w:t>
      </w:r>
    </w:p>
    <w:p w14:paraId="03852918">
      <w:pPr>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六、202</w:t>
      </w:r>
      <w:r>
        <w:rPr>
          <w:rFonts w:hint="eastAsia" w:ascii="黑体" w:hAnsi="黑体" w:eastAsia="黑体"/>
          <w:sz w:val="32"/>
          <w:szCs w:val="32"/>
          <w:lang w:val="en-US" w:eastAsia="zh-CN"/>
        </w:rPr>
        <w:t>5</w:t>
      </w:r>
      <w:r>
        <w:rPr>
          <w:rFonts w:hint="eastAsia" w:ascii="黑体" w:hAnsi="黑体" w:eastAsia="黑体"/>
          <w:sz w:val="32"/>
          <w:szCs w:val="32"/>
          <w:lang w:eastAsia="zh-CN"/>
        </w:rPr>
        <w:t>年部门收支总表的说明</w:t>
      </w:r>
    </w:p>
    <w:p w14:paraId="1E0B3829">
      <w:pPr>
        <w:spacing w:line="578"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2025年收支总预算560.55万元。收入包括：一般公共预算拨款收入560.55万元，上年结转0万元；支出包括：一般公共服务支出493.13万元、社会保障和就业支出28.37万元、卫生健康支出 18.29万元、住房保障支出 20.76万元。</w:t>
      </w:r>
    </w:p>
    <w:p w14:paraId="73B95912">
      <w:pPr>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七、202</w:t>
      </w:r>
      <w:r>
        <w:rPr>
          <w:rFonts w:hint="eastAsia" w:ascii="黑体" w:hAnsi="黑体" w:eastAsia="黑体"/>
          <w:sz w:val="32"/>
          <w:szCs w:val="32"/>
          <w:lang w:val="en-US" w:eastAsia="zh-CN"/>
        </w:rPr>
        <w:t>5</w:t>
      </w:r>
      <w:r>
        <w:rPr>
          <w:rFonts w:hint="eastAsia" w:ascii="黑体" w:hAnsi="黑体" w:eastAsia="黑体"/>
          <w:sz w:val="32"/>
          <w:szCs w:val="32"/>
          <w:lang w:eastAsia="zh-CN"/>
        </w:rPr>
        <w:t>年度部门收入总表的说明</w:t>
      </w:r>
    </w:p>
    <w:p w14:paraId="46E57AC9">
      <w:pPr>
        <w:spacing w:line="578"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收入预算560.55万元，其中：上年结转0万元.一般公共预算拨款收入493.13万元，占87%。</w:t>
      </w:r>
    </w:p>
    <w:p w14:paraId="43BCFC27">
      <w:pPr>
        <w:spacing w:line="578" w:lineRule="exact"/>
        <w:ind w:firstLine="640" w:firstLineChars="200"/>
        <w:rPr>
          <w:rFonts w:hint="eastAsia" w:ascii="黑体" w:hAnsi="黑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八、202</w:t>
      </w:r>
      <w:r>
        <w:rPr>
          <w:rFonts w:hint="eastAsia" w:ascii="黑体" w:hAnsi="黑体" w:eastAsia="黑体"/>
          <w:color w:val="000000" w:themeColor="text1"/>
          <w:sz w:val="32"/>
          <w:szCs w:val="32"/>
          <w:lang w:val="en-US" w:eastAsia="zh-CN"/>
          <w14:textFill>
            <w14:solidFill>
              <w14:schemeClr w14:val="tx1"/>
            </w14:solidFill>
          </w14:textFill>
        </w:rPr>
        <w:t>5</w:t>
      </w:r>
      <w:r>
        <w:rPr>
          <w:rFonts w:hint="eastAsia" w:ascii="黑体" w:hAnsi="黑体" w:eastAsia="黑体"/>
          <w:color w:val="000000" w:themeColor="text1"/>
          <w:sz w:val="32"/>
          <w:szCs w:val="32"/>
          <w:lang w:eastAsia="zh-CN"/>
          <w14:textFill>
            <w14:solidFill>
              <w14:schemeClr w14:val="tx1"/>
            </w14:solidFill>
          </w14:textFill>
        </w:rPr>
        <w:t>年部门支出总表的说明</w:t>
      </w:r>
    </w:p>
    <w:p w14:paraId="66BD029B">
      <w:pPr>
        <w:spacing w:line="578"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2025年支出预算560.55万元，其中：基本支出 488.55万元，占87%；项目支出72万元，占13%。</w:t>
      </w:r>
    </w:p>
    <w:p w14:paraId="6CC74348">
      <w:pPr>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九、其他重要事项的情况说明</w:t>
      </w:r>
    </w:p>
    <w:p w14:paraId="2DAD5D4E">
      <w:pPr>
        <w:spacing w:line="578"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（一）机关运行经费安排使用情况说明。</w:t>
      </w:r>
    </w:p>
    <w:p w14:paraId="0F950F17">
      <w:pPr>
        <w:spacing w:line="578"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办公费0.9万元、电费1.75万元、邮电费0.19万元、差旅费3.29万元、维修（护）费0.32万元、印刷费0.13万元、培训费0.64万元、工会经费3.15万元、取暖费1.5万元、公务接待费0.28万元、公务用车运行维护费4.55万元、其他商品和服务支出3.12万元。</w:t>
      </w:r>
    </w:p>
    <w:p w14:paraId="0233045E">
      <w:pPr>
        <w:spacing w:line="578"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（二）政府采购情况说明。</w:t>
      </w:r>
    </w:p>
    <w:p w14:paraId="16932D4C">
      <w:pPr>
        <w:spacing w:line="578"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我单位无政府采购相关经费。</w:t>
      </w:r>
    </w:p>
    <w:p w14:paraId="50A7F5A6">
      <w:pPr>
        <w:spacing w:line="578"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（三）国有资产占有使用情况说明。</w:t>
      </w:r>
    </w:p>
    <w:p w14:paraId="5B5B900E">
      <w:pPr>
        <w:spacing w:line="578"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我单位无国有资产相关经费。</w:t>
      </w:r>
    </w:p>
    <w:p w14:paraId="29DB57AF">
      <w:pPr>
        <w:spacing w:line="578"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（四）2025年预算绩效目标管理情况。</w:t>
      </w:r>
    </w:p>
    <w:p w14:paraId="7F49C20D">
      <w:pPr>
        <w:spacing w:line="578"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1.2025年绩效情况说明：我单位涉及项目资金。</w:t>
      </w:r>
    </w:p>
    <w:p w14:paraId="1F1C22AC">
      <w:pPr>
        <w:spacing w:line="578"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2.2025年重点项目预算绩效目标表（绩效目标表较多的可单独做附件）：我单位涉及项目资金。</w:t>
      </w:r>
    </w:p>
    <w:p w14:paraId="765546C0">
      <w:pPr>
        <w:spacing w:line="578"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（五）扶贫资金管理使用情况说明及绩效目标表。</w:t>
      </w:r>
    </w:p>
    <w:p w14:paraId="2F13E71E">
      <w:pPr>
        <w:spacing w:line="578"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我单位不涉及扶贫资金。</w:t>
      </w:r>
    </w:p>
    <w:p w14:paraId="76D18A8C">
      <w:pPr>
        <w:spacing w:line="578"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（六）政府债务情况（本部门及所属单位使用和管理政府债券资金情况，包括相关政府债券资金总体规模、项目安排）。</w:t>
      </w:r>
    </w:p>
    <w:p w14:paraId="613EC333">
      <w:pPr>
        <w:spacing w:line="578"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我单位无任何政府债务。</w:t>
      </w:r>
    </w:p>
    <w:p w14:paraId="1E67AF97">
      <w:pPr>
        <w:spacing w:line="578" w:lineRule="exact"/>
        <w:ind w:firstLine="640" w:firstLineChars="200"/>
        <w:rPr>
          <w:rFonts w:hint="eastAsia" w:ascii="仿宋" w:hAnsi="仿宋" w:eastAsia="仿宋"/>
          <w:sz w:val="32"/>
          <w:szCs w:val="32"/>
        </w:rPr>
      </w:pPr>
    </w:p>
    <w:p w14:paraId="3126A9C3">
      <w:pPr>
        <w:rPr>
          <w:rFonts w:hint="eastAsia" w:ascii="仿宋" w:hAnsi="仿宋" w:eastAsia="仿宋"/>
          <w:sz w:val="32"/>
          <w:szCs w:val="32"/>
        </w:rPr>
      </w:pPr>
    </w:p>
    <w:p w14:paraId="35DE649C">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r>
        <w:rPr>
          <w:rFonts w:hint="eastAsia" w:ascii="方正小标宋简体" w:hAnsi="仿宋" w:eastAsia="方正小标宋简体"/>
          <w:sz w:val="32"/>
          <w:szCs w:val="32"/>
          <w:lang w:val="en-US" w:eastAsia="zh-CN"/>
        </w:rPr>
        <w:t xml:space="preserve"> </w:t>
      </w:r>
      <w:r>
        <w:rPr>
          <w:rFonts w:hint="eastAsia" w:ascii="方正小标宋简体" w:hAnsi="仿宋" w:eastAsia="方正小标宋简体"/>
          <w:sz w:val="32"/>
          <w:szCs w:val="32"/>
        </w:rPr>
        <w:t>名词解释</w:t>
      </w:r>
    </w:p>
    <w:p w14:paraId="4EE06156">
      <w:pPr>
        <w:jc w:val="center"/>
        <w:rPr>
          <w:rFonts w:ascii="方正小标宋简体" w:hAnsi="仿宋" w:eastAsia="方正小标宋简体"/>
          <w:sz w:val="32"/>
          <w:szCs w:val="32"/>
        </w:rPr>
      </w:pPr>
    </w:p>
    <w:p w14:paraId="181F79A9">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14:paraId="6A4080E8">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3407FFDA">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144FFFBA">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68FC8E89">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5FC1FA5F">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25FFC599">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63FF8654">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3AC44E52">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71486FA6">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4862FEFA">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6369F7C4">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41F08E1C">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B1EC43-1611-406F-B899-51F2ECA33C8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146D98F-A8DE-4E79-8456-79319D6E278D}"/>
  </w:font>
  <w:font w:name="仿宋">
    <w:panose1 w:val="02010609060101010101"/>
    <w:charset w:val="86"/>
    <w:family w:val="modern"/>
    <w:pitch w:val="default"/>
    <w:sig w:usb0="800002BF" w:usb1="38CF7CFA" w:usb2="00000016" w:usb3="00000000" w:csb0="00040001" w:csb1="00000000"/>
    <w:embedRegular r:id="rId3" w:fontKey="{D1157409-EF5F-40BB-AFF8-AF31614B01AF}"/>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4" w:fontKey="{4010C88E-3A18-4113-8913-714293E62716}"/>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B9C5E">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14:paraId="138DDE0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C7EE6">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48AC5B3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42B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NzYzOTU0MDVlNmI4MjZiNjYxMGM3ZTc1MWJjNTQifQ=="/>
  </w:docVars>
  <w:rsids>
    <w:rsidRoot w:val="00643004"/>
    <w:rsid w:val="00006EF3"/>
    <w:rsid w:val="00010911"/>
    <w:rsid w:val="0001296C"/>
    <w:rsid w:val="00015A4C"/>
    <w:rsid w:val="000214DB"/>
    <w:rsid w:val="00023250"/>
    <w:rsid w:val="00025C9A"/>
    <w:rsid w:val="000273CC"/>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04F1"/>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1D26C1"/>
    <w:rsid w:val="030E7460"/>
    <w:rsid w:val="06F32C7A"/>
    <w:rsid w:val="070B051A"/>
    <w:rsid w:val="07351E35"/>
    <w:rsid w:val="0B4C599F"/>
    <w:rsid w:val="0B6251C3"/>
    <w:rsid w:val="0BE67BA2"/>
    <w:rsid w:val="0F2C7FC2"/>
    <w:rsid w:val="119F2CCD"/>
    <w:rsid w:val="125E66E4"/>
    <w:rsid w:val="12C0383F"/>
    <w:rsid w:val="15331C01"/>
    <w:rsid w:val="15FB06EE"/>
    <w:rsid w:val="21330AB5"/>
    <w:rsid w:val="28D34197"/>
    <w:rsid w:val="2902208A"/>
    <w:rsid w:val="2C9961E5"/>
    <w:rsid w:val="2D820F44"/>
    <w:rsid w:val="2E047723"/>
    <w:rsid w:val="2F626234"/>
    <w:rsid w:val="303F51F1"/>
    <w:rsid w:val="33291ECD"/>
    <w:rsid w:val="342E0DF2"/>
    <w:rsid w:val="356147EE"/>
    <w:rsid w:val="36443D60"/>
    <w:rsid w:val="369747F8"/>
    <w:rsid w:val="36C721FA"/>
    <w:rsid w:val="39406294"/>
    <w:rsid w:val="3BCC176F"/>
    <w:rsid w:val="3C3F010C"/>
    <w:rsid w:val="3E001ABB"/>
    <w:rsid w:val="40BA692C"/>
    <w:rsid w:val="42C95C95"/>
    <w:rsid w:val="42D64E2B"/>
    <w:rsid w:val="43760579"/>
    <w:rsid w:val="44A91A80"/>
    <w:rsid w:val="45081244"/>
    <w:rsid w:val="45F93E9A"/>
    <w:rsid w:val="461E795D"/>
    <w:rsid w:val="475719A5"/>
    <w:rsid w:val="4AB22DFF"/>
    <w:rsid w:val="4C9A4E54"/>
    <w:rsid w:val="4DEA6AA2"/>
    <w:rsid w:val="501B1984"/>
    <w:rsid w:val="56777341"/>
    <w:rsid w:val="56BE628E"/>
    <w:rsid w:val="56FB659C"/>
    <w:rsid w:val="5704408D"/>
    <w:rsid w:val="57EA187A"/>
    <w:rsid w:val="585B4FFB"/>
    <w:rsid w:val="58C223CA"/>
    <w:rsid w:val="5CA249EC"/>
    <w:rsid w:val="5D1D360D"/>
    <w:rsid w:val="5D9E438D"/>
    <w:rsid w:val="6169514B"/>
    <w:rsid w:val="61C24EDB"/>
    <w:rsid w:val="66720F9F"/>
    <w:rsid w:val="67AD3FFA"/>
    <w:rsid w:val="67F56D5B"/>
    <w:rsid w:val="68E1689C"/>
    <w:rsid w:val="6ACF4FAF"/>
    <w:rsid w:val="6ED3390F"/>
    <w:rsid w:val="71760EFB"/>
    <w:rsid w:val="71D93A4C"/>
    <w:rsid w:val="73996BD9"/>
    <w:rsid w:val="77F4039A"/>
    <w:rsid w:val="781B354C"/>
    <w:rsid w:val="79667075"/>
    <w:rsid w:val="7EEF5DAE"/>
    <w:rsid w:val="DEBFE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3742</Words>
  <Characters>3994</Characters>
  <Lines>33</Lines>
  <Paragraphs>9</Paragraphs>
  <TotalTime>38</TotalTime>
  <ScaleCrop>false</ScaleCrop>
  <LinksUpToDate>false</LinksUpToDate>
  <CharactersWithSpaces>4024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2021-01-20T02:08:00Z</dcterms:created>
  <dc:creator>CN=预算处/OU=预算处/OU=西藏自治区财政厅/O=TIBET</dc:creator>
  <cp:lastModifiedBy>安安</cp:lastModifiedBy>
  <cp:lastPrinted>2025-01-23T02:36:50Z</cp:lastPrinted>
  <dcterms:modified xsi:type="dcterms:W3CDTF">2025-01-23T02:36:54Z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3A34B2B73DC747D5AB941413BB49DF34_13</vt:lpwstr>
  </property>
  <property fmtid="{D5CDD505-2E9C-101B-9397-08002B2CF9AE}" pid="4" name="KSOTemplateDocerSaveRecord">
    <vt:lpwstr>eyJoZGlkIjoiOWJjZDNjYWYwYzhhODUwZDgwOTViYWExMDUyYjY3YTgiLCJ1c2VySWQiOiIyODE0MjAxNTIifQ==</vt:lpwstr>
  </property>
</Properties>
</file>