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西藏那曲班戈县人民政府办公室</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 xml:space="preserve"> 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092" w:firstLineChars="700"/>
        <w:jc w:val="both"/>
        <w:textAlignment w:val="auto"/>
        <w:rPr>
          <w:rFonts w:hint="eastAsia" w:ascii="方正仿宋简体" w:hAnsi="方正仿宋简体" w:eastAsia="方正仿宋简体" w:cs="方正仿宋简体"/>
          <w:b/>
          <w:bCs/>
          <w:sz w:val="44"/>
          <w:szCs w:val="44"/>
        </w:rPr>
      </w:pPr>
      <w:r>
        <w:rPr>
          <w:rFonts w:hint="eastAsia" w:ascii="方正仿宋简体" w:hAnsi="方正仿宋简体" w:eastAsia="方正仿宋简体" w:cs="方正仿宋简体"/>
          <w:b/>
          <w:bCs/>
          <w:sz w:val="44"/>
          <w:szCs w:val="44"/>
        </w:rPr>
        <w:t>目  录</w:t>
      </w: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第一部分 </w:t>
      </w:r>
      <w:r>
        <w:rPr>
          <w:rFonts w:hint="eastAsia" w:ascii="方正仿宋简体" w:hAnsi="方正仿宋简体" w:eastAsia="方正仿宋简体" w:cs="方正仿宋简体"/>
          <w:b/>
          <w:bCs/>
          <w:sz w:val="32"/>
          <w:szCs w:val="32"/>
          <w:lang w:eastAsia="zh-CN"/>
        </w:rPr>
        <w:t>西藏那曲班戈县人民政府办公室</w:t>
      </w:r>
      <w:r>
        <w:rPr>
          <w:rFonts w:hint="eastAsia" w:ascii="方正仿宋简体" w:hAnsi="方正仿宋简体" w:eastAsia="方正仿宋简体" w:cs="方正仿宋简体"/>
          <w:b/>
          <w:bCs/>
          <w:sz w:val="32"/>
          <w:szCs w:val="32"/>
        </w:rPr>
        <w:t>概况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left"/>
        <w:textAlignment w:val="auto"/>
        <w:rPr>
          <w:rFonts w:hint="eastAsia" w:ascii="仿宋" w:hAnsi="仿宋" w:eastAsia="仿宋"/>
          <w:b w:val="0"/>
          <w:bCs w:val="0"/>
          <w:sz w:val="32"/>
          <w:szCs w:val="32"/>
          <w:lang w:val="en-US" w:eastAsia="zh-CN"/>
        </w:rPr>
      </w:pPr>
      <w:r>
        <w:rPr>
          <w:rFonts w:hint="eastAsia" w:ascii="黑体" w:hAnsi="黑体" w:eastAsia="黑体"/>
          <w:b/>
          <w:bCs/>
          <w:sz w:val="32"/>
          <w:szCs w:val="32"/>
        </w:rPr>
        <w:t>一</w:t>
      </w:r>
      <w:r>
        <w:rPr>
          <w:rFonts w:hint="eastAsia" w:ascii="仿宋" w:hAnsi="仿宋" w:eastAsia="仿宋"/>
          <w:b w:val="0"/>
          <w:bCs w:val="0"/>
          <w:sz w:val="32"/>
          <w:szCs w:val="32"/>
          <w:lang w:val="en-US" w:eastAsia="zh-CN"/>
        </w:rPr>
        <w:t>、   主要职能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二、  西藏那曲班戈县人民政府办公室机构设置情况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left"/>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第二部分  西藏那曲班戈县人民政府办公室预算明细表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left"/>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第三部分   西藏那曲班戈县人民政府办公室预算数据分析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一、西藏那曲班戈县人民政府办公室收支总体情况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二、西藏那曲班戈县人民政府办公室收入总体情况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三、西藏那曲班戈县人民政府办公室支出总体情况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四、财政拨款收支总体情况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五、一般公共预算支出总体情况（按功能分类科目）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六、一般公共预算基本支出总体情况（按经济分类款级科目）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七、一般公共预算“三公”经费支出总体情况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八、政府性基金预算支出总体情况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九、政府性基金“三公”经费支出总体情况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十、其他重要事项情况说明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left"/>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第四部分  名词解释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西藏那曲班戈县人民政府办公室</w:t>
      </w:r>
      <w:r>
        <w:rPr>
          <w:rFonts w:hint="eastAsia" w:ascii="方正小标宋简体" w:hAnsi="仿宋" w:eastAsia="方正小标宋简体"/>
          <w:sz w:val="32"/>
          <w:szCs w:val="32"/>
        </w:rPr>
        <w:t>概况</w:t>
      </w: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rPr>
      </w:pPr>
      <w:r>
        <w:rPr>
          <w:rFonts w:hint="eastAsia" w:ascii="黑体" w:hAnsi="黑体" w:eastAsia="黑体"/>
          <w:b/>
          <w:bCs/>
          <w:sz w:val="32"/>
          <w:szCs w:val="32"/>
        </w:rPr>
        <w:t>一、</w:t>
      </w:r>
      <w:r>
        <w:rPr>
          <w:rFonts w:hint="eastAsia" w:ascii="仿宋" w:hAnsi="仿宋" w:eastAsia="仿宋"/>
          <w:b/>
          <w:bCs/>
          <w:sz w:val="32"/>
          <w:szCs w:val="32"/>
        </w:rPr>
        <w:t>主要职能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(一)负责建立健全县人民政府工作基本制度，贯彻执行医家法律法规和政策、规划、标准。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(二)负责处理县人民政府的日常政务和事务。负责县人民政府会议和县人民政府领导同志重要活动的组织安排，协助县人民政府领导同志组织实施会议决定事项。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(二)意责初织起真笛宙核以县人民政府、县政府办公室名义发布的公文，负责承办中央及自治区、市来文来电。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(四)对各乡镇人民政府、县人民政府各部门请示县人民政府的事项，研究提出审核意见，报县人民政府或政府领导同志审批。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(五)根据县人民政府领导同志的指示，对各乡镇人民政府、县人民政府各部门之间出现的争议问题，提出处理意见，报县人民政府领导同志决定。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六)负责起草《政府工作报告》，牵头组织县人民政府重要会议的文稿起草，单独或组织、协同有关方面起草、修改县人民政府的有关文稿，起草县人民政府领导同志讲话和相关文稿，负责相关新闻稿的审核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(七)协助做好“四件大事”和着力推进“四个创建”“四个示范市”等方面重大问题的调查研究，提出政策建议。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(八)督促检查各乡镇人民政府、县人民政府各部门对县人民政府决定事项及县人民政府领导同志指示批示的贯彻落实情况，及时向县人民政府领导同志报告。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(九)负责县人民政府总值班工作，指导乡镇政府及县人民政府各部门值班工作，及时报告重要情况，传达和督促落实县人民政府领导同志指示。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(十)组织办理县人民政府系统承担的县人大代表建议和政协提案。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(十一)负责收集、分析、整理和报送经济社会发展的重要信息和政务信息工作，为县人民政府决策提供参考建议。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(十二)承担县推进政府职能转变和数字政府建设协调职责和日常工作。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(十三)负责县人民政府政务公开工作。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(十四)负责县人民政府、各乡镇人民政府、县人民政府各部门有关行政规范性文件的合法性审查、报备、清理和汇编工作。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(十五)负责《政务信息》等刊物的编印工作。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(十六)负责上级工作组、来宾的接待服务保障工作。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(十七)负责县政府公务用车，党政机关后勤事务管理等工作。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(十八)负责全县政务服务的综合协调工作，探索“放管服”改革工作，参与拟订全县“放管服”改革政策、制度和规划，并组织实施。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九)按照自治区及市委、市政府和县委、县政府决策部署，组织开展政务服务事项划转承接工作。负责政务服务事项、公用事业领域高频服务事项，向西藏“一体化”政务服务平台和县政务服务中心集中，构建“一网一门一次”服务工作格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(二十)负责西藏“一体化”政务服务平台运行管理工作，按照上级要求落实政务服务领域、相关信息建设及信息公开工作，推动政务服务线上线下融合发展。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(二十一)负责规范和管理政务服务事项流程再造、环节优化、时限压缩等全县行政审批和便民服务行为，建立健全相关工作体制机制，推进政务服务标准化、规范化、便利化建设工作。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(二十二)负责政务服务中心窗口工作人员综合素质培养和业务技能培训工作,建立健全政务服务中心窗口工作人员服务和管理制度。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(二十三)指导全县各级各部门依法依规开展政务服务工作。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(二十四)负责受理民生诉求，以及政务服务领域投诉、举报事宜。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(二十五)建设公共资源交易平台，建立健全相关工作机制，依法依规组织开展公共资源交易工作。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(二十六)负责全县“放管服”改革工作的监督检查考评工作。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(二十七)负责政务服务宣传工作。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(二十八)负责协调和指导各乡镇行政审批和便民服务工作。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(二十九)完成县委、县政府交办的其他任务。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年部门预算编制范围的二级预算单位包括：</w:t>
      </w:r>
      <w:r>
        <w:rPr>
          <w:rFonts w:hint="eastAsia" w:ascii="仿宋" w:hAnsi="仿宋" w:eastAsia="仿宋"/>
          <w:sz w:val="32"/>
          <w:szCs w:val="32"/>
          <w:lang w:eastAsia="zh-CN"/>
        </w:rPr>
        <w:t>班戈县后勤服务中心、班戈县行政审批局和便民服务局。</w:t>
      </w:r>
      <w:r>
        <w:rPr>
          <w:rFonts w:hint="eastAsia" w:ascii="仿宋" w:hAnsi="仿宋" w:eastAsia="仿宋"/>
          <w:sz w:val="32"/>
          <w:szCs w:val="32"/>
          <w:lang w:val="en-US" w:eastAsia="zh-CN"/>
        </w:rPr>
        <w:t>县政府办公室机关行政编制7名。部门领导职数5名，党组书记、主任1名，党组副书记、副主任、行政审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34" w:firstLineChars="11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第二部分</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西藏那曲班戈县人民政府办公室</w:t>
      </w: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5</w:t>
      </w:r>
      <w:r>
        <w:rPr>
          <w:rFonts w:hint="eastAsia" w:ascii="方正仿宋简体" w:hAnsi="方正仿宋简体" w:eastAsia="方正仿宋简体" w:cs="方正仿宋简体"/>
          <w:b/>
          <w:bCs/>
          <w:sz w:val="32"/>
          <w:szCs w:val="32"/>
        </w:rPr>
        <w:t>年度预算明细表</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（表格详见附件）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20" w:firstLineChars="11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20" w:firstLineChars="11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20" w:firstLineChars="11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20" w:firstLineChars="11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34" w:firstLineChars="11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第三部分</w:t>
      </w:r>
    </w:p>
    <w:p>
      <w:pPr>
        <w:keepNext w:val="0"/>
        <w:keepLines w:val="0"/>
        <w:pageBreakBefore w:val="0"/>
        <w:widowControl w:val="0"/>
        <w:kinsoku/>
        <w:wordWrap/>
        <w:overflowPunct/>
        <w:topLinePunct w:val="0"/>
        <w:autoSpaceDE/>
        <w:autoSpaceDN/>
        <w:bidi w:val="0"/>
        <w:adjustRightInd/>
        <w:snapToGrid/>
        <w:spacing w:line="578" w:lineRule="exact"/>
        <w:ind w:left="3534" w:leftChars="0" w:hanging="3534" w:hangingChars="1100"/>
        <w:jc w:val="center"/>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西藏那曲班戈县人民政府办公室2024年度部门预算</w:t>
      </w:r>
    </w:p>
    <w:p>
      <w:pPr>
        <w:keepNext w:val="0"/>
        <w:keepLines w:val="0"/>
        <w:pageBreakBefore w:val="0"/>
        <w:widowControl w:val="0"/>
        <w:kinsoku/>
        <w:wordWrap/>
        <w:overflowPunct/>
        <w:topLinePunct w:val="0"/>
        <w:autoSpaceDE/>
        <w:autoSpaceDN/>
        <w:bidi w:val="0"/>
        <w:adjustRightInd/>
        <w:snapToGrid/>
        <w:spacing w:line="578" w:lineRule="exact"/>
        <w:ind w:left="3534" w:leftChars="0" w:hanging="3534" w:hangingChars="1100"/>
        <w:jc w:val="center"/>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数据分析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一、部门（单位）收支总体情况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w:t>
      </w:r>
      <w:r>
        <w:rPr>
          <w:rFonts w:hint="eastAsia" w:ascii="仿宋" w:hAnsi="仿宋" w:eastAsia="仿宋"/>
          <w:sz w:val="32"/>
          <w:szCs w:val="32"/>
          <w:lang w:val="en-US" w:eastAsia="zh-CN"/>
        </w:rPr>
        <w:t>5年财政拨款收支总预算2,287.91万元。收入为一般公共预算拨款2,287.91 ，包括：一般公共预算当年拨款收入2,252.21万元、上年结转35.7万元；支出包括：一般公共服务支出1,806.63万元，社会保障和就业支出210.74万元、卫生健康支出119.24万元、住房保障支出151.30万元。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二、部门（单位）收入总体情况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2025年财政拨款收入预算总量2287.91万元，同比增加 190.72万元，主要原因是： 今年有结转 。其中：上年结转   35.7万元，占 1.56  %；202</w:t>
      </w:r>
      <w:r>
        <w:rPr>
          <w:rFonts w:hint="eastAsia" w:ascii="仿宋" w:hAnsi="仿宋" w:eastAsia="仿宋"/>
          <w:sz w:val="32"/>
          <w:szCs w:val="32"/>
          <w:lang w:val="en-US" w:eastAsia="zh-CN"/>
        </w:rPr>
        <w:t>5年一般公共预算拨款收入2252.21万元，占98.43  %；202</w:t>
      </w:r>
      <w:r>
        <w:rPr>
          <w:rFonts w:hint="eastAsia" w:ascii="仿宋" w:hAnsi="仿宋" w:eastAsia="仿宋"/>
          <w:sz w:val="32"/>
          <w:szCs w:val="32"/>
          <w:lang w:val="en-US" w:eastAsia="zh-CN"/>
        </w:rPr>
        <w:t>5年政府性基金预算拨款收入  0 万元，占  0  %；202</w:t>
      </w:r>
      <w:r>
        <w:rPr>
          <w:rFonts w:hint="eastAsia" w:ascii="仿宋" w:hAnsi="仿宋" w:eastAsia="仿宋"/>
          <w:sz w:val="32"/>
          <w:szCs w:val="32"/>
          <w:lang w:val="en-US" w:eastAsia="zh-CN"/>
        </w:rPr>
        <w:t>5年国有资本经营预算拨款收入 0  万元，占  0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三、部门（单位）支出总体情况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支出预算总量 2287.91 万元，同比增加 190.72万元，主要原因是：  今年有上年结转 。其中：基本支出 2255.26 万元，占 98.57%；项目支出32.65 万元，占 1.43 %。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四、财政拨款收支总体情况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财政拨款收支总预算2287.91  万元，同比减少190.72   万元，主要原因是：今年有上年结转 。收入包括：一般公共预算当年拨款收入</w:t>
      </w:r>
      <w:r>
        <w:rPr>
          <w:rFonts w:hint="eastAsia" w:ascii="仿宋" w:hAnsi="仿宋" w:eastAsia="仿宋"/>
          <w:sz w:val="32"/>
          <w:szCs w:val="32"/>
          <w:lang w:val="en-US" w:eastAsia="zh-CN"/>
        </w:rPr>
        <w:t xml:space="preserve"> 2252.21万元、政府性基金  0 万元、国有资本经营预算  0 万元、上年结转 35.7 万元；支出包括：一般公共服务支出1,806.63万元，社会保障和就业支出210.74万元、卫生健康支出119.24万元、住房保障支出151.30万元。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五、一般公共预算支出总体情况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2025年一般公共预算当年拨款  2287.91  万元,比202</w:t>
      </w:r>
      <w:r>
        <w:rPr>
          <w:rFonts w:hint="eastAsia" w:ascii="仿宋" w:hAnsi="仿宋" w:eastAsia="仿宋"/>
          <w:sz w:val="32"/>
          <w:szCs w:val="32"/>
          <w:lang w:val="en-US" w:eastAsia="zh-CN"/>
        </w:rPr>
        <w:t>4 年执行数增加  190.72 万元，主要原因：人员增加、今年有上年结转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一般公共预算当年拨款 2252.21万元,主要用于以下方面：一般公共服务支出1806.63万元占80.21%；社会保障和就业支出210.74万元、占9.35%卫生健康支出119.24万、占5.3%、住房保障支出151.3万元，占6.7%。</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人民政府办公室一般公共预算支出功能分类项级科目增减变化进行说明。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1、一般公共服务支出：202</w:t>
      </w:r>
      <w:r>
        <w:rPr>
          <w:rFonts w:hint="eastAsia" w:ascii="仿宋" w:hAnsi="仿宋" w:eastAsia="仿宋"/>
          <w:sz w:val="32"/>
          <w:szCs w:val="32"/>
          <w:lang w:val="en-US" w:eastAsia="zh-CN"/>
        </w:rPr>
        <w:t>5年预算数为1806.63万元，比202</w:t>
      </w:r>
      <w:r>
        <w:rPr>
          <w:rFonts w:hint="eastAsia" w:ascii="仿宋" w:hAnsi="仿宋" w:eastAsia="仿宋"/>
          <w:sz w:val="32"/>
          <w:szCs w:val="32"/>
          <w:lang w:val="en-US" w:eastAsia="zh-CN"/>
        </w:rPr>
        <w:t>4年执行数增加187.33</w:t>
      </w:r>
      <w:r>
        <w:rPr>
          <w:rFonts w:hint="eastAsia" w:ascii="仿宋" w:hAnsi="仿宋" w:eastAsia="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2、社会保障和就业支出：202</w:t>
      </w:r>
      <w:r>
        <w:rPr>
          <w:rFonts w:hint="eastAsia" w:ascii="仿宋" w:hAnsi="仿宋" w:eastAsia="仿宋"/>
          <w:sz w:val="32"/>
          <w:szCs w:val="32"/>
          <w:lang w:val="en-US" w:eastAsia="zh-CN"/>
        </w:rPr>
        <w:t>5年预算数为210.74万元，比202</w:t>
      </w:r>
      <w:r>
        <w:rPr>
          <w:rFonts w:hint="eastAsia" w:ascii="仿宋" w:hAnsi="仿宋" w:eastAsia="仿宋"/>
          <w:sz w:val="32"/>
          <w:szCs w:val="32"/>
          <w:lang w:val="en-US" w:eastAsia="zh-CN"/>
        </w:rPr>
        <w:t>4年执行数减少0.33</w:t>
      </w:r>
      <w:r>
        <w:rPr>
          <w:rFonts w:hint="eastAsia" w:ascii="仿宋" w:hAnsi="仿宋" w:eastAsia="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3、卫生健康支出：2025年预算数为119.24</w:t>
      </w:r>
      <w:r>
        <w:rPr>
          <w:rFonts w:hint="eastAsia" w:ascii="仿宋" w:hAnsi="仿宋" w:eastAsia="仿宋"/>
          <w:sz w:val="32"/>
          <w:szCs w:val="32"/>
          <w:lang w:val="en-US" w:eastAsia="zh-CN"/>
        </w:rPr>
        <w:t>万元，比2024年执行数减少1.22</w:t>
      </w:r>
      <w:r>
        <w:rPr>
          <w:rFonts w:hint="eastAsia" w:ascii="仿宋" w:hAnsi="仿宋" w:eastAsia="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4、住房保障支出2025年预算数为151.3</w:t>
      </w:r>
      <w:r>
        <w:rPr>
          <w:rFonts w:hint="eastAsia" w:ascii="仿宋" w:hAnsi="仿宋" w:eastAsia="仿宋"/>
          <w:sz w:val="32"/>
          <w:szCs w:val="32"/>
          <w:lang w:val="en-US" w:eastAsia="zh-CN"/>
        </w:rPr>
        <w:t>万元，比2024年执行数增加4.94</w:t>
      </w:r>
      <w:r>
        <w:rPr>
          <w:rFonts w:hint="eastAsia" w:ascii="仿宋" w:hAnsi="仿宋" w:eastAsia="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六、一般公共预算基本支出总体情况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2025年一般公共预算基本支出2,255.26 万元，其中：</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人员经费1856.76万元，主要包括：基本工资225.63万元、津贴补贴</w:t>
      </w:r>
      <w:r>
        <w:rPr>
          <w:rFonts w:hint="eastAsia" w:ascii="仿宋" w:hAnsi="仿宋" w:eastAsia="仿宋"/>
          <w:sz w:val="32"/>
          <w:szCs w:val="32"/>
          <w:lang w:val="en-US" w:eastAsia="zh-CN"/>
        </w:rPr>
        <w:t xml:space="preserve"> 961.19万元、奖金94.29</w:t>
      </w:r>
      <w:r>
        <w:rPr>
          <w:rFonts w:hint="eastAsia" w:ascii="仿宋" w:hAnsi="仿宋" w:eastAsia="仿宋"/>
          <w:sz w:val="32"/>
          <w:szCs w:val="32"/>
          <w:lang w:val="en-US" w:eastAsia="zh-CN"/>
        </w:rPr>
        <w:t xml:space="preserve"> 万元、伙食补助费18.36万元</w:t>
      </w:r>
      <w:r>
        <w:rPr>
          <w:rFonts w:hint="eastAsia" w:ascii="仿宋" w:hAnsi="仿宋" w:eastAsia="仿宋"/>
          <w:sz w:val="32"/>
          <w:szCs w:val="32"/>
          <w:lang w:val="en-US" w:eastAsia="zh-CN"/>
        </w:rPr>
        <w:t>、机关事业单位养老保险缴费201.73万元、城镇职工基本医疗保险缴费97.08万元、公务员医疗补助11.14万元、其他社会保险缴费6.51万元（失业保险、工伤保险）、住房公积金151.3万元</w:t>
      </w:r>
      <w:r>
        <w:rPr>
          <w:rFonts w:hint="eastAsia" w:ascii="仿宋" w:hAnsi="仿宋" w:eastAsia="仿宋"/>
          <w:sz w:val="32"/>
          <w:szCs w:val="32"/>
          <w:lang w:val="en-US" w:eastAsia="zh-CN"/>
        </w:rPr>
        <w:t>、医疗费11.02万元、其他工资福利支出66.27万元（个人取暖费、煤油补贴、休假探亲费、其他工资福利支出），对个人和家庭的补助</w:t>
      </w:r>
      <w:r>
        <w:rPr>
          <w:rFonts w:hint="eastAsia" w:ascii="仿宋" w:hAnsi="仿宋" w:eastAsia="仿宋"/>
          <w:sz w:val="32"/>
          <w:szCs w:val="32"/>
          <w:lang w:val="en-US" w:eastAsia="zh-CN"/>
        </w:rPr>
        <w:t>12.23万元。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公用经费（商品和服务支出）398.5万元，主要包括：办公费</w:t>
      </w:r>
      <w:r>
        <w:rPr>
          <w:rFonts w:hint="eastAsia" w:ascii="仿宋" w:hAnsi="仿宋" w:eastAsia="仿宋"/>
          <w:sz w:val="32"/>
          <w:szCs w:val="32"/>
          <w:lang w:val="en-US" w:eastAsia="zh-CN"/>
        </w:rPr>
        <w:t>6.35万元、印刷费0.77万元、电费10.75万元、邮电费2.76万元、取暖费10.88万元、差旅费25.73万元、维修(护)费1.94万元、培训费7.96万元、公务接待费1.72万元、工会经费22.96</w:t>
      </w:r>
      <w:r>
        <w:rPr>
          <w:rFonts w:hint="eastAsia" w:ascii="仿宋" w:hAnsi="仿宋" w:eastAsia="仿宋"/>
          <w:sz w:val="32"/>
          <w:szCs w:val="32"/>
          <w:lang w:val="en-US" w:eastAsia="zh-CN"/>
        </w:rPr>
        <w:t>万元、公务运行用车维护费189.35万元、其他商品和服务支出117.33万元。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七、一般公共预算“三公”经费预算总体情况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w:t>
      </w:r>
      <w:r>
        <w:rPr>
          <w:rFonts w:hint="eastAsia" w:ascii="仿宋" w:hAnsi="仿宋" w:eastAsia="仿宋"/>
          <w:sz w:val="32"/>
          <w:szCs w:val="32"/>
          <w:lang w:val="en-US" w:eastAsia="zh-CN"/>
        </w:rPr>
        <w:t>5年“三公”经费预算数为 191.07万元，其中：因公出国（境）费  0   万元，公务用车购置   0  万元，公车运行费 189.35万元，公务接待费  1.68  万元。“三公”经费预算比202</w:t>
      </w:r>
      <w:r>
        <w:rPr>
          <w:rFonts w:hint="eastAsia" w:ascii="仿宋" w:hAnsi="仿宋" w:eastAsia="仿宋"/>
          <w:sz w:val="32"/>
          <w:szCs w:val="32"/>
          <w:lang w:val="en-US" w:eastAsia="zh-CN"/>
        </w:rPr>
        <w:t>4年增加 39.69  万元，压缩（增长） 4.81  %，主要原因是  油价上涨，车辆增加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2024年因公出国（境） 0  个团组、 0  人，公务用车购置  0 辆、保有  0 量，国内公务接待 0  批次、 0  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八、政府性基金预算支出总体情况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我办2024年度没有使用政府性基金安排的支出。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九、政府性基金“三公”经费总体情况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我办2024年度没有使用政府性基金“三公”经费安排的支出。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（一）机关运行经费安排使用情况说明。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w:t>
      </w:r>
      <w:r>
        <w:rPr>
          <w:rFonts w:hint="eastAsia" w:ascii="仿宋" w:hAnsi="仿宋" w:eastAsia="仿宋"/>
          <w:sz w:val="32"/>
          <w:szCs w:val="32"/>
          <w:lang w:val="en-US" w:eastAsia="zh-CN"/>
        </w:rPr>
        <w:t>5年班戈县人民政府办公室运行经费财政拨款预算398.5万元，比202</w:t>
      </w:r>
      <w:r>
        <w:rPr>
          <w:rFonts w:hint="eastAsia" w:ascii="仿宋" w:hAnsi="仿宋" w:eastAsia="仿宋"/>
          <w:sz w:val="32"/>
          <w:szCs w:val="32"/>
          <w:lang w:val="en-US" w:eastAsia="zh-CN"/>
        </w:rPr>
        <w:t>4年预算增加125.2万元，增加45.81 %。主要是今年机构改革与人员变动、随之工作任务增多、车辆使用率大幅提高、保障后勤工作日常开展、办公需求扩张、协同与信息化建设等。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方正楷体简体" w:hAnsi="方正楷体简体" w:eastAsia="方正楷体简体" w:cs="方正楷体简体"/>
          <w:sz w:val="32"/>
          <w:szCs w:val="32"/>
          <w:lang w:val="en-US" w:eastAsia="zh-CN"/>
        </w:rPr>
        <w:t>（二）政府采购情况说明。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我办202</w:t>
      </w:r>
      <w:r>
        <w:rPr>
          <w:rFonts w:hint="eastAsia" w:ascii="仿宋" w:hAnsi="仿宋" w:eastAsia="仿宋"/>
          <w:sz w:val="32"/>
          <w:szCs w:val="32"/>
          <w:lang w:val="en-US" w:eastAsia="zh-CN"/>
        </w:rPr>
        <w:t>5年度没有政府采购情况。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（三）国有资产占有使用情况说明。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我办202</w:t>
      </w:r>
      <w:r>
        <w:rPr>
          <w:rFonts w:hint="eastAsia" w:ascii="仿宋" w:hAnsi="仿宋" w:eastAsia="仿宋"/>
          <w:sz w:val="32"/>
          <w:szCs w:val="32"/>
          <w:lang w:val="en-US" w:eastAsia="zh-CN"/>
        </w:rPr>
        <w:t>5年度没有国有资产占有使用情况。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（四）2025年预算绩效情况说明。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w:t>
      </w:r>
      <w:r>
        <w:rPr>
          <w:rFonts w:hint="eastAsia" w:ascii="仿宋" w:hAnsi="仿宋" w:eastAsia="仿宋"/>
          <w:sz w:val="32"/>
          <w:szCs w:val="32"/>
          <w:lang w:val="en-US" w:eastAsia="zh-CN"/>
        </w:rPr>
        <w:t>5年实现财政支出绩效目标管理全覆盖，实行绩效目标管理25个，一般公共预算资金 2,252.21 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（五）扶贫资金管理使用情况及绩效目标情况说明。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我办202</w:t>
      </w:r>
      <w:r>
        <w:rPr>
          <w:rFonts w:hint="eastAsia" w:ascii="仿宋" w:hAnsi="仿宋" w:eastAsia="仿宋"/>
          <w:sz w:val="32"/>
          <w:szCs w:val="32"/>
          <w:lang w:val="en-US" w:eastAsia="zh-CN"/>
        </w:rPr>
        <w:t>5年度没有扶贫资金管理使用情况及绩效目标情况。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政府债务情况。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我办202</w:t>
      </w:r>
      <w:r>
        <w:rPr>
          <w:rFonts w:hint="eastAsia" w:ascii="仿宋" w:hAnsi="仿宋" w:eastAsia="仿宋"/>
          <w:sz w:val="32"/>
          <w:szCs w:val="32"/>
          <w:lang w:val="en-US" w:eastAsia="zh-CN"/>
        </w:rPr>
        <w:t>5年度没有政府债务情况。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534" w:firstLineChars="11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第四部分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名词解释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（对部门和单位专业性较强的名次进行解释。）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一、财政拨款收入：</w:t>
      </w:r>
      <w:r>
        <w:rPr>
          <w:rFonts w:hint="eastAsia" w:ascii="仿宋" w:hAnsi="仿宋" w:eastAsia="仿宋"/>
          <w:sz w:val="32"/>
          <w:szCs w:val="32"/>
          <w:lang w:val="en-US" w:eastAsia="zh-CN"/>
        </w:rPr>
        <w:t>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二、事业收入：</w:t>
      </w:r>
      <w:r>
        <w:rPr>
          <w:rFonts w:hint="eastAsia" w:ascii="仿宋" w:hAnsi="仿宋" w:eastAsia="仿宋"/>
          <w:sz w:val="32"/>
          <w:szCs w:val="32"/>
          <w:lang w:val="en-US" w:eastAsia="zh-CN"/>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三、事业单位经营收入：</w:t>
      </w:r>
      <w:r>
        <w:rPr>
          <w:rFonts w:hint="eastAsia" w:ascii="仿宋" w:hAnsi="仿宋" w:eastAsia="仿宋"/>
          <w:sz w:val="32"/>
          <w:szCs w:val="32"/>
          <w:lang w:val="en-US" w:eastAsia="zh-CN"/>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四、机关运行经费：</w:t>
      </w:r>
      <w:r>
        <w:rPr>
          <w:rFonts w:hint="eastAsia" w:ascii="仿宋" w:hAnsi="仿宋" w:eastAsia="仿宋"/>
          <w:sz w:val="32"/>
          <w:szCs w:val="32"/>
          <w:lang w:val="en-US" w:eastAsia="zh-CN"/>
        </w:rPr>
        <w:t>为保障行政单位（包括参照公务员法管理的事业单位）运行用于购买货物和服务的各项资金，包括办公及印刷费、邮电费、差旅费、会议费、福利费、日常维修费、一般设备购置</w:t>
      </w:r>
      <w:bookmarkStart w:id="0" w:name="_GoBack"/>
      <w:bookmarkEnd w:id="0"/>
      <w:r>
        <w:rPr>
          <w:rFonts w:hint="eastAsia" w:ascii="仿宋" w:hAnsi="仿宋" w:eastAsia="仿宋"/>
          <w:sz w:val="32"/>
          <w:szCs w:val="32"/>
          <w:lang w:val="en-US" w:eastAsia="zh-CN"/>
        </w:rPr>
        <w:t>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五、其他收入：</w:t>
      </w:r>
      <w:r>
        <w:rPr>
          <w:rFonts w:hint="eastAsia" w:ascii="仿宋" w:hAnsi="仿宋" w:eastAsia="仿宋"/>
          <w:sz w:val="32"/>
          <w:szCs w:val="32"/>
          <w:lang w:val="en-US" w:eastAsia="zh-CN"/>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六、上年结转：</w:t>
      </w:r>
      <w:r>
        <w:rPr>
          <w:rFonts w:hint="eastAsia" w:ascii="仿宋" w:hAnsi="仿宋" w:eastAsia="仿宋"/>
          <w:sz w:val="32"/>
          <w:szCs w:val="32"/>
          <w:lang w:val="en-US" w:eastAsia="zh-CN"/>
        </w:rPr>
        <w:t>指以前年度安排、结转到本年仍按原规定用途继续使用的资金。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七、重点项目：</w:t>
      </w:r>
      <w:r>
        <w:rPr>
          <w:rFonts w:hint="eastAsia" w:ascii="仿宋" w:hAnsi="仿宋" w:eastAsia="仿宋"/>
          <w:sz w:val="32"/>
          <w:szCs w:val="32"/>
          <w:lang w:val="en-US" w:eastAsia="zh-CN"/>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八、基本支出：</w:t>
      </w:r>
      <w:r>
        <w:rPr>
          <w:rFonts w:hint="eastAsia" w:ascii="仿宋" w:hAnsi="仿宋" w:eastAsia="仿宋"/>
          <w:sz w:val="32"/>
          <w:szCs w:val="32"/>
          <w:lang w:val="en-US" w:eastAsia="zh-CN"/>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九、项目支出：</w:t>
      </w:r>
      <w:r>
        <w:rPr>
          <w:rFonts w:hint="eastAsia" w:ascii="仿宋" w:hAnsi="仿宋" w:eastAsia="仿宋"/>
          <w:sz w:val="32"/>
          <w:szCs w:val="32"/>
          <w:lang w:val="en-US" w:eastAsia="zh-CN"/>
        </w:rPr>
        <w:t>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十、“三公”经费：</w:t>
      </w:r>
      <w:r>
        <w:rPr>
          <w:rFonts w:hint="eastAsia" w:ascii="仿宋" w:hAnsi="仿宋" w:eastAsia="仿宋"/>
          <w:sz w:val="32"/>
          <w:szCs w:val="32"/>
          <w:lang w:val="en-US" w:eastAsia="zh-CN"/>
        </w:rPr>
        <w:t>是指安排的因公出国（境）费、公务用车购置及运行维护费和公务接待费。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十、事业单位经营支出：</w:t>
      </w:r>
      <w:r>
        <w:rPr>
          <w:rFonts w:hint="eastAsia" w:ascii="仿宋" w:hAnsi="仿宋" w:eastAsia="仿宋"/>
          <w:sz w:val="32"/>
          <w:szCs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sz w:val="32"/>
          <w:szCs w:val="32"/>
          <w:lang w:val="en-US" w:eastAsia="zh-CN"/>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PUA">
    <w:panose1 w:val="02010600030101010101"/>
    <w:charset w:val="86"/>
    <w:family w:val="auto"/>
    <w:pitch w:val="default"/>
    <w:sig w:usb0="00000000" w:usb1="10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45067"/>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125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783064"/>
    <w:rsid w:val="051F3ACD"/>
    <w:rsid w:val="07FC38D2"/>
    <w:rsid w:val="08B15638"/>
    <w:rsid w:val="08F5728A"/>
    <w:rsid w:val="09134A36"/>
    <w:rsid w:val="09537DEE"/>
    <w:rsid w:val="098168B8"/>
    <w:rsid w:val="0B0516F2"/>
    <w:rsid w:val="0B254555"/>
    <w:rsid w:val="0BE04443"/>
    <w:rsid w:val="0CA7186B"/>
    <w:rsid w:val="0DD914AE"/>
    <w:rsid w:val="0E06727F"/>
    <w:rsid w:val="0E0C0D09"/>
    <w:rsid w:val="0E966C67"/>
    <w:rsid w:val="1023039B"/>
    <w:rsid w:val="146D4BC4"/>
    <w:rsid w:val="1769573F"/>
    <w:rsid w:val="17FF3998"/>
    <w:rsid w:val="1BDB2244"/>
    <w:rsid w:val="1D2D003E"/>
    <w:rsid w:val="204A6360"/>
    <w:rsid w:val="20AE42EB"/>
    <w:rsid w:val="232E6D4D"/>
    <w:rsid w:val="238231F8"/>
    <w:rsid w:val="26251A15"/>
    <w:rsid w:val="265656E0"/>
    <w:rsid w:val="26922F22"/>
    <w:rsid w:val="2A8B5A32"/>
    <w:rsid w:val="2BE21310"/>
    <w:rsid w:val="2F155F37"/>
    <w:rsid w:val="32642472"/>
    <w:rsid w:val="32875AF8"/>
    <w:rsid w:val="32D9639F"/>
    <w:rsid w:val="33F94E32"/>
    <w:rsid w:val="34450C9E"/>
    <w:rsid w:val="37431F6D"/>
    <w:rsid w:val="3840455B"/>
    <w:rsid w:val="38E008D1"/>
    <w:rsid w:val="3A5A34DF"/>
    <w:rsid w:val="3B140A59"/>
    <w:rsid w:val="3B74415C"/>
    <w:rsid w:val="3BBD1A1F"/>
    <w:rsid w:val="3D9C7F7D"/>
    <w:rsid w:val="3E93304A"/>
    <w:rsid w:val="3F356CD6"/>
    <w:rsid w:val="3FD62B59"/>
    <w:rsid w:val="42AB1920"/>
    <w:rsid w:val="446C2D0E"/>
    <w:rsid w:val="45C31C4B"/>
    <w:rsid w:val="492C25A6"/>
    <w:rsid w:val="49C6516C"/>
    <w:rsid w:val="4A7A48B7"/>
    <w:rsid w:val="4A7B4F8B"/>
    <w:rsid w:val="4C0674C4"/>
    <w:rsid w:val="50DB2B7F"/>
    <w:rsid w:val="51B27020"/>
    <w:rsid w:val="53DE7DE0"/>
    <w:rsid w:val="54905F55"/>
    <w:rsid w:val="57CB121C"/>
    <w:rsid w:val="593A2F93"/>
    <w:rsid w:val="59A5428E"/>
    <w:rsid w:val="5BE738A2"/>
    <w:rsid w:val="5E9A2948"/>
    <w:rsid w:val="5E9E3CE1"/>
    <w:rsid w:val="64072572"/>
    <w:rsid w:val="65C551F9"/>
    <w:rsid w:val="661A48A9"/>
    <w:rsid w:val="66D83E39"/>
    <w:rsid w:val="67306DE8"/>
    <w:rsid w:val="684F2770"/>
    <w:rsid w:val="692B0EFC"/>
    <w:rsid w:val="6AC63B05"/>
    <w:rsid w:val="6F222A92"/>
    <w:rsid w:val="75E84DD4"/>
    <w:rsid w:val="7628696B"/>
    <w:rsid w:val="763D221E"/>
    <w:rsid w:val="77D55279"/>
    <w:rsid w:val="78A27BBF"/>
    <w:rsid w:val="78F75E29"/>
    <w:rsid w:val="79CD0B97"/>
    <w:rsid w:val="7B8860CF"/>
    <w:rsid w:val="7BEE67B8"/>
    <w:rsid w:val="7C2423D9"/>
    <w:rsid w:val="7C494562"/>
    <w:rsid w:val="7CEC57FA"/>
    <w:rsid w:val="7DDE0A43"/>
    <w:rsid w:val="7EDB58F9"/>
    <w:rsid w:val="7F99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23</TotalTime>
  <ScaleCrop>false</ScaleCrop>
  <LinksUpToDate>false</LinksUpToDate>
  <CharactersWithSpaces>4729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2025-01-22T08:03:16Z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