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E8B75">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14:paraId="6DAB42E7">
      <w:pPr>
        <w:rPr>
          <w:rFonts w:ascii="仿宋" w:hAnsi="仿宋" w:eastAsia="仿宋"/>
          <w:sz w:val="32"/>
          <w:szCs w:val="32"/>
        </w:rPr>
      </w:pPr>
    </w:p>
    <w:p w14:paraId="058BFE4F">
      <w:pPr>
        <w:rPr>
          <w:rFonts w:ascii="仿宋" w:hAnsi="仿宋" w:eastAsia="仿宋"/>
          <w:sz w:val="32"/>
          <w:szCs w:val="32"/>
        </w:rPr>
      </w:pPr>
    </w:p>
    <w:p w14:paraId="2FC9A161">
      <w:pPr>
        <w:jc w:val="center"/>
        <w:rPr>
          <w:rFonts w:ascii="方正小标宋简体" w:hAnsi="仿宋" w:eastAsia="方正小标宋简体"/>
          <w:sz w:val="44"/>
          <w:szCs w:val="44"/>
        </w:rPr>
      </w:pPr>
      <w:r>
        <w:rPr>
          <w:rFonts w:hint="eastAsia" w:ascii="方正小标宋简体" w:hAnsi="仿宋" w:eastAsia="方正小标宋简体"/>
          <w:sz w:val="44"/>
          <w:szCs w:val="44"/>
        </w:rPr>
        <w:t>西藏那曲班戈县纳木措念青唐古拉山风景名胜区管理局202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14:paraId="04894A50">
      <w:pPr>
        <w:rPr>
          <w:rFonts w:ascii="仿宋" w:hAnsi="仿宋" w:eastAsia="仿宋"/>
          <w:sz w:val="32"/>
          <w:szCs w:val="32"/>
        </w:rPr>
      </w:pPr>
    </w:p>
    <w:p w14:paraId="649000BC">
      <w:pPr>
        <w:rPr>
          <w:rFonts w:ascii="仿宋" w:hAnsi="仿宋" w:eastAsia="仿宋"/>
          <w:sz w:val="32"/>
          <w:szCs w:val="32"/>
        </w:rPr>
      </w:pPr>
    </w:p>
    <w:p w14:paraId="0FF0E97C">
      <w:pPr>
        <w:rPr>
          <w:rFonts w:ascii="仿宋" w:hAnsi="仿宋" w:eastAsia="仿宋"/>
          <w:sz w:val="32"/>
          <w:szCs w:val="32"/>
        </w:rPr>
      </w:pPr>
    </w:p>
    <w:p w14:paraId="123937AF">
      <w:pPr>
        <w:rPr>
          <w:rFonts w:ascii="仿宋" w:hAnsi="仿宋" w:eastAsia="仿宋"/>
          <w:sz w:val="32"/>
          <w:szCs w:val="32"/>
        </w:rPr>
      </w:pPr>
    </w:p>
    <w:p w14:paraId="75375107">
      <w:pPr>
        <w:rPr>
          <w:rFonts w:ascii="仿宋" w:hAnsi="仿宋" w:eastAsia="仿宋"/>
          <w:sz w:val="32"/>
          <w:szCs w:val="32"/>
        </w:rPr>
      </w:pPr>
    </w:p>
    <w:p w14:paraId="16F6ED29">
      <w:pPr>
        <w:rPr>
          <w:rFonts w:ascii="仿宋" w:hAnsi="仿宋" w:eastAsia="仿宋"/>
          <w:sz w:val="32"/>
          <w:szCs w:val="32"/>
        </w:rPr>
      </w:pPr>
    </w:p>
    <w:p w14:paraId="65F8C584">
      <w:pPr>
        <w:rPr>
          <w:rFonts w:ascii="仿宋" w:hAnsi="仿宋" w:eastAsia="仿宋"/>
          <w:sz w:val="32"/>
          <w:szCs w:val="32"/>
        </w:rPr>
      </w:pPr>
    </w:p>
    <w:p w14:paraId="6383A2CE">
      <w:pPr>
        <w:rPr>
          <w:rFonts w:ascii="仿宋" w:hAnsi="仿宋" w:eastAsia="仿宋"/>
          <w:sz w:val="32"/>
          <w:szCs w:val="32"/>
        </w:rPr>
      </w:pPr>
    </w:p>
    <w:p w14:paraId="734A20F3">
      <w:pPr>
        <w:rPr>
          <w:rFonts w:ascii="仿宋" w:hAnsi="仿宋" w:eastAsia="仿宋"/>
          <w:sz w:val="32"/>
          <w:szCs w:val="32"/>
        </w:rPr>
      </w:pPr>
    </w:p>
    <w:p w14:paraId="04B8CECD">
      <w:pPr>
        <w:rPr>
          <w:rFonts w:ascii="仿宋" w:hAnsi="仿宋" w:eastAsia="仿宋"/>
          <w:sz w:val="32"/>
          <w:szCs w:val="32"/>
        </w:rPr>
      </w:pPr>
    </w:p>
    <w:p w14:paraId="314E29A9">
      <w:pPr>
        <w:rPr>
          <w:rFonts w:ascii="仿宋" w:hAnsi="仿宋" w:eastAsia="仿宋"/>
          <w:sz w:val="32"/>
          <w:szCs w:val="32"/>
        </w:rPr>
      </w:pPr>
    </w:p>
    <w:p w14:paraId="1C306CBC">
      <w:pPr>
        <w:rPr>
          <w:rFonts w:ascii="仿宋" w:hAnsi="仿宋" w:eastAsia="仿宋"/>
          <w:sz w:val="32"/>
          <w:szCs w:val="32"/>
        </w:rPr>
      </w:pPr>
    </w:p>
    <w:p w14:paraId="6A157B7C">
      <w:pPr>
        <w:rPr>
          <w:rFonts w:ascii="仿宋" w:hAnsi="仿宋" w:eastAsia="仿宋"/>
          <w:sz w:val="32"/>
          <w:szCs w:val="32"/>
        </w:rPr>
      </w:pPr>
    </w:p>
    <w:p w14:paraId="1FBDD9AD">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w:t>
      </w:r>
    </w:p>
    <w:p w14:paraId="75F94A92">
      <w:pPr>
        <w:jc w:val="center"/>
        <w:rPr>
          <w:rFonts w:hint="eastAsia" w:ascii="方正小标宋简体" w:hAnsi="仿宋" w:eastAsia="方正小标宋简体"/>
          <w:sz w:val="44"/>
          <w:szCs w:val="44"/>
        </w:rPr>
      </w:pPr>
    </w:p>
    <w:p w14:paraId="538F4241">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33E4E6EF">
      <w:pPr>
        <w:rPr>
          <w:rFonts w:ascii="方正小标宋简体" w:hAnsi="仿宋" w:eastAsia="方正小标宋简体"/>
          <w:sz w:val="32"/>
          <w:szCs w:val="32"/>
        </w:rPr>
      </w:pPr>
      <w:r>
        <w:rPr>
          <w:rFonts w:hint="eastAsia" w:ascii="方正小标宋简体" w:hAnsi="仿宋" w:eastAsia="方正小标宋简体"/>
          <w:sz w:val="32"/>
          <w:szCs w:val="32"/>
        </w:rPr>
        <w:t>第一部分  西藏那曲班戈县纳木措念青唐古拉山风景名胜区管理局概况</w:t>
      </w:r>
    </w:p>
    <w:p w14:paraId="353B215C">
      <w:pPr>
        <w:rPr>
          <w:rFonts w:ascii="黑体" w:hAnsi="黑体" w:eastAsia="黑体"/>
          <w:sz w:val="32"/>
          <w:szCs w:val="32"/>
        </w:rPr>
      </w:pPr>
      <w:r>
        <w:rPr>
          <w:rFonts w:hint="eastAsia" w:ascii="黑体" w:hAnsi="黑体" w:eastAsia="黑体"/>
          <w:sz w:val="32"/>
          <w:szCs w:val="32"/>
        </w:rPr>
        <w:t>一、主要职能</w:t>
      </w:r>
    </w:p>
    <w:p w14:paraId="67E8040A">
      <w:pPr>
        <w:rPr>
          <w:rFonts w:ascii="黑体" w:hAnsi="黑体" w:eastAsia="黑体"/>
          <w:sz w:val="32"/>
          <w:szCs w:val="32"/>
        </w:rPr>
      </w:pPr>
      <w:r>
        <w:rPr>
          <w:rFonts w:hint="eastAsia" w:ascii="黑体" w:hAnsi="黑体" w:eastAsia="黑体"/>
          <w:sz w:val="32"/>
          <w:szCs w:val="32"/>
        </w:rPr>
        <w:t>二、部门预算单位构成</w:t>
      </w:r>
    </w:p>
    <w:p w14:paraId="0C458867">
      <w:pPr>
        <w:rPr>
          <w:rFonts w:ascii="方正小标宋简体" w:hAnsi="仿宋" w:eastAsia="方正小标宋简体"/>
          <w:sz w:val="32"/>
          <w:szCs w:val="32"/>
        </w:rPr>
      </w:pPr>
      <w:r>
        <w:rPr>
          <w:rFonts w:hint="eastAsia" w:ascii="方正小标宋简体" w:hAnsi="仿宋" w:eastAsia="方正小标宋简体"/>
          <w:sz w:val="32"/>
          <w:szCs w:val="32"/>
        </w:rPr>
        <w:t>第二部分 西藏那曲班戈县纳木措念青唐古拉山风景名胜区管理局202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14:paraId="38D1E1F7">
      <w:pPr>
        <w:rPr>
          <w:rFonts w:ascii="黑体" w:hAnsi="黑体" w:eastAsia="黑体"/>
          <w:sz w:val="32"/>
          <w:szCs w:val="32"/>
        </w:rPr>
      </w:pPr>
      <w:r>
        <w:rPr>
          <w:rFonts w:hint="eastAsia" w:ascii="黑体" w:hAnsi="黑体" w:eastAsia="黑体"/>
          <w:sz w:val="32"/>
          <w:szCs w:val="32"/>
        </w:rPr>
        <w:t>一、部门收支总体情况表</w:t>
      </w:r>
    </w:p>
    <w:p w14:paraId="00400088">
      <w:pPr>
        <w:rPr>
          <w:rFonts w:ascii="黑体" w:hAnsi="黑体" w:eastAsia="黑体"/>
          <w:sz w:val="32"/>
          <w:szCs w:val="32"/>
        </w:rPr>
      </w:pPr>
      <w:r>
        <w:rPr>
          <w:rFonts w:hint="eastAsia" w:ascii="黑体" w:hAnsi="黑体" w:eastAsia="黑体"/>
          <w:sz w:val="32"/>
          <w:szCs w:val="32"/>
        </w:rPr>
        <w:t>二、部门收入总体情况表</w:t>
      </w:r>
    </w:p>
    <w:p w14:paraId="52C43A97">
      <w:pPr>
        <w:rPr>
          <w:rFonts w:ascii="黑体" w:hAnsi="黑体" w:eastAsia="黑体"/>
          <w:sz w:val="32"/>
          <w:szCs w:val="32"/>
        </w:rPr>
      </w:pPr>
      <w:r>
        <w:rPr>
          <w:rFonts w:hint="eastAsia" w:ascii="黑体" w:hAnsi="黑体" w:eastAsia="黑体"/>
          <w:sz w:val="32"/>
          <w:szCs w:val="32"/>
        </w:rPr>
        <w:t>三、部门支出总体情况表</w:t>
      </w:r>
    </w:p>
    <w:p w14:paraId="4B4555C0">
      <w:pPr>
        <w:rPr>
          <w:rFonts w:ascii="黑体" w:hAnsi="黑体" w:eastAsia="黑体"/>
          <w:sz w:val="32"/>
          <w:szCs w:val="32"/>
        </w:rPr>
      </w:pPr>
      <w:r>
        <w:rPr>
          <w:rFonts w:hint="eastAsia" w:ascii="黑体" w:hAnsi="黑体" w:eastAsia="黑体"/>
          <w:sz w:val="32"/>
          <w:szCs w:val="32"/>
        </w:rPr>
        <w:t>四、财政拨款收支总体情况表</w:t>
      </w:r>
    </w:p>
    <w:p w14:paraId="1A83CACB">
      <w:pPr>
        <w:rPr>
          <w:rFonts w:ascii="黑体" w:hAnsi="黑体" w:eastAsia="黑体"/>
          <w:sz w:val="32"/>
          <w:szCs w:val="32"/>
        </w:rPr>
      </w:pPr>
      <w:r>
        <w:rPr>
          <w:rFonts w:hint="eastAsia" w:ascii="黑体" w:hAnsi="黑体" w:eastAsia="黑体"/>
          <w:sz w:val="32"/>
          <w:szCs w:val="32"/>
        </w:rPr>
        <w:t>五、一般公共预算支出情况表（按功能分类科目）</w:t>
      </w:r>
    </w:p>
    <w:p w14:paraId="5B4034BE">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6DB25125">
      <w:pPr>
        <w:rPr>
          <w:rFonts w:ascii="黑体" w:hAnsi="黑体" w:eastAsia="黑体"/>
          <w:sz w:val="32"/>
          <w:szCs w:val="32"/>
        </w:rPr>
      </w:pPr>
      <w:r>
        <w:rPr>
          <w:rFonts w:hint="eastAsia" w:ascii="黑体" w:hAnsi="黑体" w:eastAsia="黑体"/>
          <w:sz w:val="32"/>
          <w:szCs w:val="32"/>
        </w:rPr>
        <w:t>七、一般公共预算“三公”经费支出情况表</w:t>
      </w:r>
    </w:p>
    <w:p w14:paraId="707C0A22">
      <w:pPr>
        <w:rPr>
          <w:rFonts w:ascii="黑体" w:hAnsi="黑体" w:eastAsia="黑体"/>
          <w:sz w:val="32"/>
          <w:szCs w:val="32"/>
        </w:rPr>
      </w:pPr>
      <w:r>
        <w:rPr>
          <w:rFonts w:hint="eastAsia" w:ascii="黑体" w:hAnsi="黑体" w:eastAsia="黑体"/>
          <w:sz w:val="32"/>
          <w:szCs w:val="32"/>
        </w:rPr>
        <w:t>八、政府性基金“三公”经费支出情况表</w:t>
      </w:r>
    </w:p>
    <w:p w14:paraId="56051516">
      <w:pPr>
        <w:rPr>
          <w:rFonts w:ascii="黑体" w:hAnsi="黑体" w:eastAsia="黑体"/>
          <w:sz w:val="32"/>
          <w:szCs w:val="32"/>
        </w:rPr>
      </w:pPr>
      <w:r>
        <w:rPr>
          <w:rFonts w:hint="eastAsia" w:ascii="黑体" w:hAnsi="黑体" w:eastAsia="黑体"/>
          <w:sz w:val="32"/>
          <w:szCs w:val="32"/>
        </w:rPr>
        <w:t>九、政府性基金预算支出情况表</w:t>
      </w:r>
    </w:p>
    <w:p w14:paraId="2B349BE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72462957">
      <w:pPr>
        <w:rPr>
          <w:rFonts w:ascii="黑体" w:hAnsi="黑体" w:eastAsia="黑体"/>
          <w:sz w:val="32"/>
          <w:szCs w:val="32"/>
        </w:rPr>
      </w:pPr>
      <w:r>
        <w:rPr>
          <w:rFonts w:hint="eastAsia" w:ascii="黑体" w:hAnsi="黑体" w:eastAsia="黑体"/>
          <w:sz w:val="32"/>
          <w:szCs w:val="32"/>
        </w:rPr>
        <w:t>十一、项目支出绩效表</w:t>
      </w:r>
    </w:p>
    <w:p w14:paraId="182BA8CB">
      <w:pPr>
        <w:rPr>
          <w:rFonts w:ascii="方正小标宋简体" w:hAnsi="仿宋" w:eastAsia="方正小标宋简体"/>
          <w:sz w:val="32"/>
          <w:szCs w:val="32"/>
        </w:rPr>
      </w:pPr>
      <w:r>
        <w:rPr>
          <w:rFonts w:hint="eastAsia" w:ascii="方正小标宋简体" w:hAnsi="仿宋" w:eastAsia="方正小标宋简体"/>
          <w:sz w:val="32"/>
          <w:szCs w:val="32"/>
        </w:rPr>
        <w:t>第三部分 西藏那曲班戈县纳木措念青唐古拉山风景名胜区管理局202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14:paraId="2A9AF06C">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4FE3E330">
      <w:pPr>
        <w:rPr>
          <w:rFonts w:ascii="仿宋" w:hAnsi="仿宋" w:eastAsia="仿宋"/>
          <w:sz w:val="32"/>
          <w:szCs w:val="32"/>
        </w:rPr>
      </w:pPr>
    </w:p>
    <w:p w14:paraId="7A4FE4F9">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2245DE00">
      <w:pPr>
        <w:jc w:val="center"/>
        <w:rPr>
          <w:rFonts w:ascii="方正小标宋简体" w:hAnsi="仿宋" w:eastAsia="方正小标宋简体"/>
          <w:sz w:val="32"/>
          <w:szCs w:val="32"/>
        </w:rPr>
      </w:pPr>
    </w:p>
    <w:p w14:paraId="45C380AC">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西藏那曲班戈县纳木措念青唐古拉山风景名胜区管理局</w:t>
      </w:r>
    </w:p>
    <w:p w14:paraId="3FC42724">
      <w:pPr>
        <w:jc w:val="center"/>
        <w:rPr>
          <w:rFonts w:ascii="方正小标宋简体" w:hAnsi="仿宋" w:eastAsia="方正小标宋简体"/>
          <w:sz w:val="32"/>
          <w:szCs w:val="32"/>
        </w:rPr>
      </w:pPr>
      <w:r>
        <w:rPr>
          <w:rFonts w:hint="eastAsia" w:ascii="方正小标宋简体" w:hAnsi="仿宋" w:eastAsia="方正小标宋简体"/>
          <w:sz w:val="32"/>
          <w:szCs w:val="32"/>
        </w:rPr>
        <w:t>概况</w:t>
      </w:r>
    </w:p>
    <w:p w14:paraId="7BB1CD3D">
      <w:pPr>
        <w:rPr>
          <w:rFonts w:ascii="仿宋" w:hAnsi="仿宋" w:eastAsia="仿宋"/>
          <w:sz w:val="32"/>
          <w:szCs w:val="32"/>
        </w:rPr>
      </w:pPr>
    </w:p>
    <w:p w14:paraId="65A5DE7D">
      <w:pPr>
        <w:rPr>
          <w:rFonts w:ascii="黑体" w:hAnsi="黑体" w:eastAsia="黑体"/>
          <w:sz w:val="32"/>
          <w:szCs w:val="32"/>
        </w:rPr>
      </w:pPr>
      <w:r>
        <w:rPr>
          <w:rFonts w:hint="eastAsia" w:ascii="黑体" w:hAnsi="黑体" w:eastAsia="黑体"/>
          <w:sz w:val="32"/>
          <w:szCs w:val="32"/>
        </w:rPr>
        <w:t>一、主要职能</w:t>
      </w:r>
    </w:p>
    <w:p w14:paraId="0D043D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宣传贯彻国家风景名胜、民族、宗教、文物、农牧、林业、国土、环境保护等有关法律、法规、规章和有关规定。</w:t>
      </w:r>
    </w:p>
    <w:p w14:paraId="77E3422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制定景区综合管理制度，会同有关部门共同做好景区的保护、利用和管理工作</w:t>
      </w:r>
      <w:r>
        <w:rPr>
          <w:rFonts w:hint="eastAsia" w:ascii="仿宋" w:hAnsi="仿宋" w:eastAsia="仿宋" w:cs="仿宋"/>
          <w:sz w:val="32"/>
          <w:szCs w:val="32"/>
        </w:rPr>
        <w:t>。</w:t>
      </w:r>
    </w:p>
    <w:p w14:paraId="15D140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协助有关部门编制景区总体规划和详细规划，建设，维护，管理风景区内的基础设施和其他公共设施</w:t>
      </w:r>
      <w:r>
        <w:rPr>
          <w:rFonts w:hint="eastAsia" w:ascii="仿宋" w:hAnsi="仿宋" w:eastAsia="仿宋" w:cs="仿宋"/>
          <w:sz w:val="32"/>
          <w:szCs w:val="32"/>
        </w:rPr>
        <w:t>。</w:t>
      </w:r>
    </w:p>
    <w:p w14:paraId="486A9F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负责景区门票的出售，检验；负责景区公路巡查和停车场管理；负责旅游资源的调查，保护和旅游统计等工作。</w:t>
      </w:r>
      <w:r>
        <w:rPr>
          <w:rFonts w:hint="eastAsia" w:ascii="仿宋" w:hAnsi="仿宋" w:eastAsia="仿宋" w:cs="仿宋"/>
          <w:sz w:val="32"/>
          <w:szCs w:val="32"/>
          <w:lang w:val="en-US" w:eastAsia="zh-CN"/>
        </w:rPr>
        <w:t xml:space="preserve"> </w:t>
      </w:r>
    </w:p>
    <w:p w14:paraId="7F6B6E4A">
      <w:pPr>
        <w:keepNext w:val="0"/>
        <w:keepLines w:val="0"/>
        <w:pageBreakBefore w:val="0"/>
        <w:widowControl w:val="0"/>
        <w:kinsoku/>
        <w:wordWrap/>
        <w:overflowPunct/>
        <w:topLinePunct w:val="0"/>
        <w:autoSpaceDE/>
        <w:autoSpaceDN/>
        <w:bidi w:val="0"/>
        <w:adjustRightInd/>
        <w:snapToGrid/>
        <w:spacing w:line="578"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负责景区治安的维护和各类安全预案的制定和落实，负责安全状况监控以及突发事件的应急处理。</w:t>
      </w:r>
    </w:p>
    <w:p w14:paraId="64A68E2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w:t>
      </w:r>
      <w:r>
        <w:rPr>
          <w:rFonts w:hint="eastAsia" w:ascii="仿宋" w:hAnsi="仿宋" w:eastAsia="仿宋" w:cs="仿宋"/>
          <w:sz w:val="32"/>
          <w:szCs w:val="32"/>
          <w:lang w:eastAsia="zh-CN"/>
        </w:rPr>
        <w:t>负责景区游览项目设施和标识标牌等基础设施的制作，安装和检修。</w:t>
      </w:r>
    </w:p>
    <w:p w14:paraId="77CBF6C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rPr>
        <w:t>七)</w:t>
      </w:r>
      <w:r>
        <w:rPr>
          <w:rFonts w:hint="eastAsia" w:ascii="仿宋" w:hAnsi="仿宋" w:eastAsia="仿宋" w:cs="仿宋"/>
          <w:sz w:val="32"/>
          <w:szCs w:val="32"/>
          <w:lang w:eastAsia="zh-CN"/>
        </w:rPr>
        <w:t>负责游客咨询服务，导游服务；参与游客的投诉处理</w:t>
      </w:r>
      <w:r>
        <w:rPr>
          <w:rFonts w:hint="eastAsia" w:ascii="仿宋" w:hAnsi="仿宋" w:eastAsia="仿宋" w:cs="仿宋"/>
          <w:sz w:val="32"/>
          <w:szCs w:val="32"/>
          <w:lang w:val="en-US" w:eastAsia="zh-CN"/>
        </w:rPr>
        <w:t>.</w:t>
      </w:r>
    </w:p>
    <w:p w14:paraId="2E973FC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(八)</w:t>
      </w:r>
      <w:r>
        <w:rPr>
          <w:rFonts w:hint="eastAsia" w:ascii="仿宋" w:hAnsi="仿宋" w:eastAsia="仿宋" w:cs="仿宋"/>
          <w:sz w:val="32"/>
          <w:szCs w:val="32"/>
          <w:lang w:eastAsia="zh-CN"/>
        </w:rPr>
        <w:t>承办县人民政府交办的其他事项</w:t>
      </w:r>
      <w:r>
        <w:rPr>
          <w:rFonts w:hint="eastAsia" w:ascii="仿宋" w:hAnsi="仿宋" w:eastAsia="仿宋" w:cs="仿宋"/>
          <w:sz w:val="32"/>
          <w:szCs w:val="32"/>
        </w:rPr>
        <w:t>。</w:t>
      </w:r>
    </w:p>
    <w:p w14:paraId="2E82783A">
      <w:pPr>
        <w:rPr>
          <w:rFonts w:hint="eastAsia" w:ascii="黑体" w:hAnsi="黑体" w:eastAsia="黑体"/>
          <w:sz w:val="32"/>
          <w:szCs w:val="32"/>
        </w:rPr>
      </w:pPr>
      <w:r>
        <w:rPr>
          <w:rFonts w:hint="eastAsia" w:ascii="黑体" w:hAnsi="黑体" w:eastAsia="黑体"/>
          <w:sz w:val="32"/>
          <w:szCs w:val="32"/>
        </w:rPr>
        <w:t>二、部门预算单位构成</w:t>
      </w:r>
    </w:p>
    <w:p w14:paraId="49E527BA">
      <w:pPr>
        <w:rPr>
          <w:rFonts w:hint="eastAsia" w:ascii="仿宋_GB2312" w:hAnsi="宋体" w:eastAsia="仿宋_GB2312"/>
          <w:sz w:val="32"/>
          <w:szCs w:val="32"/>
          <w:lang w:val="en-US" w:eastAsia="zh-CN"/>
        </w:rPr>
      </w:pPr>
      <w:r>
        <w:rPr>
          <w:rFonts w:hint="eastAsia" w:ascii="仿宋_GB2312" w:eastAsia="仿宋_GB2312"/>
          <w:sz w:val="32"/>
          <w:szCs w:val="32"/>
          <w:lang w:eastAsia="zh-CN"/>
        </w:rPr>
        <w:t>本单位仅一级</w:t>
      </w:r>
      <w:r>
        <w:rPr>
          <w:rFonts w:ascii="仿宋_GB2312" w:eastAsia="仿宋_GB2312"/>
          <w:sz w:val="32"/>
          <w:szCs w:val="32"/>
        </w:rPr>
        <w:t>预算</w:t>
      </w:r>
      <w:r>
        <w:rPr>
          <w:rFonts w:hint="eastAsia" w:ascii="仿宋_GB2312" w:eastAsia="仿宋_GB2312"/>
          <w:sz w:val="32"/>
          <w:szCs w:val="32"/>
          <w:lang w:eastAsia="zh-CN"/>
        </w:rPr>
        <w:t>单位</w:t>
      </w:r>
      <w:r>
        <w:rPr>
          <w:rFonts w:hint="eastAsia" w:ascii="仿宋_GB2312" w:eastAsia="仿宋_GB2312"/>
          <w:sz w:val="32"/>
          <w:szCs w:val="32"/>
        </w:rPr>
        <w:t>构成</w:t>
      </w:r>
      <w:r>
        <w:rPr>
          <w:rFonts w:ascii="仿宋_GB2312" w:eastAsia="仿宋_GB2312"/>
          <w:sz w:val="32"/>
          <w:szCs w:val="32"/>
        </w:rPr>
        <w:t>。</w:t>
      </w:r>
      <w:r>
        <w:rPr>
          <w:rFonts w:hint="eastAsia" w:ascii="仿宋_GB2312" w:eastAsia="仿宋_GB2312"/>
          <w:sz w:val="32"/>
          <w:szCs w:val="32"/>
          <w:lang w:eastAsia="zh-CN"/>
        </w:rPr>
        <w:t>班戈县纳木错</w:t>
      </w:r>
      <w:r>
        <w:rPr>
          <w:rFonts w:hint="eastAsia" w:ascii="仿宋_GB2312" w:eastAsia="仿宋_GB2312"/>
          <w:sz w:val="32"/>
          <w:szCs w:val="32"/>
          <w:lang w:val="en-US" w:eastAsia="zh-CN"/>
        </w:rPr>
        <w:t>念青唐古拉山风景名胜区管理局，为班戈县政府直属事业单位，正科级建制，核定事业编制8名，</w:t>
      </w:r>
      <w:r>
        <w:rPr>
          <w:rFonts w:hint="eastAsia" w:ascii="仿宋" w:hAnsi="仿宋" w:eastAsia="仿宋" w:cs="仿宋"/>
          <w:sz w:val="32"/>
          <w:szCs w:val="32"/>
        </w:rPr>
        <w:t>实有人数</w:t>
      </w:r>
      <w:r>
        <w:rPr>
          <w:rFonts w:hint="eastAsia" w:ascii="仿宋" w:hAnsi="仿宋" w:eastAsia="仿宋" w:cs="仿宋"/>
          <w:sz w:val="32"/>
          <w:szCs w:val="32"/>
          <w:lang w:val="en-US" w:eastAsia="zh-CN"/>
        </w:rPr>
        <w:t>12</w:t>
      </w:r>
      <w:r>
        <w:rPr>
          <w:rFonts w:hint="eastAsia" w:ascii="仿宋" w:hAnsi="仿宋" w:eastAsia="仿宋" w:cs="仿宋"/>
          <w:sz w:val="32"/>
          <w:szCs w:val="32"/>
        </w:rPr>
        <w:t>人</w:t>
      </w:r>
      <w:r>
        <w:rPr>
          <w:rFonts w:hint="eastAsia" w:ascii="仿宋" w:hAnsi="仿宋" w:eastAsia="仿宋" w:cs="仿宋"/>
          <w:sz w:val="32"/>
          <w:szCs w:val="32"/>
          <w:lang w:val="en-US" w:eastAsia="zh-CN"/>
        </w:rPr>
        <w:t>,</w:t>
      </w:r>
      <w:r>
        <w:rPr>
          <w:rFonts w:hint="eastAsia" w:ascii="仿宋_GB2312" w:eastAsia="仿宋_GB2312"/>
          <w:sz w:val="32"/>
          <w:szCs w:val="32"/>
          <w:lang w:val="en-US" w:eastAsia="zh-CN"/>
        </w:rPr>
        <w:t>实际其中科级领导职数3名（1正2副）。经费来源为全额拨款。</w:t>
      </w:r>
    </w:p>
    <w:p w14:paraId="0A6FE9EC">
      <w:pPr>
        <w:rPr>
          <w:rFonts w:ascii="仿宋" w:hAnsi="仿宋" w:eastAsia="仿宋"/>
          <w:sz w:val="32"/>
          <w:szCs w:val="32"/>
        </w:rPr>
      </w:pPr>
    </w:p>
    <w:p w14:paraId="72F4A19A">
      <w:pPr>
        <w:rPr>
          <w:rFonts w:ascii="仿宋" w:hAnsi="仿宋" w:eastAsia="仿宋"/>
          <w:sz w:val="32"/>
          <w:szCs w:val="32"/>
        </w:rPr>
      </w:pPr>
    </w:p>
    <w:p w14:paraId="45E7F6DD">
      <w:pPr>
        <w:rPr>
          <w:rFonts w:ascii="仿宋" w:hAnsi="仿宋" w:eastAsia="仿宋"/>
          <w:sz w:val="32"/>
          <w:szCs w:val="32"/>
        </w:rPr>
      </w:pPr>
    </w:p>
    <w:p w14:paraId="60233B08">
      <w:pPr>
        <w:rPr>
          <w:rFonts w:ascii="仿宋" w:hAnsi="仿宋" w:eastAsia="仿宋"/>
          <w:sz w:val="32"/>
          <w:szCs w:val="32"/>
        </w:rPr>
      </w:pPr>
    </w:p>
    <w:p w14:paraId="0228A55B">
      <w:pPr>
        <w:rPr>
          <w:rFonts w:ascii="仿宋" w:hAnsi="仿宋" w:eastAsia="仿宋"/>
          <w:sz w:val="32"/>
          <w:szCs w:val="32"/>
        </w:rPr>
      </w:pPr>
    </w:p>
    <w:p w14:paraId="266E776D">
      <w:pPr>
        <w:rPr>
          <w:rFonts w:ascii="仿宋" w:hAnsi="仿宋" w:eastAsia="仿宋"/>
          <w:sz w:val="32"/>
          <w:szCs w:val="32"/>
        </w:rPr>
      </w:pPr>
    </w:p>
    <w:p w14:paraId="4E7E3FCF">
      <w:pPr>
        <w:rPr>
          <w:rFonts w:ascii="仿宋" w:hAnsi="仿宋" w:eastAsia="仿宋"/>
          <w:sz w:val="32"/>
          <w:szCs w:val="32"/>
        </w:rPr>
      </w:pPr>
    </w:p>
    <w:p w14:paraId="6E3ED307">
      <w:pPr>
        <w:jc w:val="center"/>
        <w:rPr>
          <w:rFonts w:hint="eastAsia" w:ascii="方正小标宋简体" w:hAnsi="仿宋" w:eastAsia="方正小标宋简体"/>
          <w:sz w:val="32"/>
          <w:szCs w:val="32"/>
        </w:rPr>
      </w:pPr>
    </w:p>
    <w:p w14:paraId="598ADF44">
      <w:pPr>
        <w:jc w:val="center"/>
        <w:rPr>
          <w:rFonts w:hint="eastAsia" w:ascii="方正小标宋简体" w:hAnsi="仿宋" w:eastAsia="方正小标宋简体"/>
          <w:sz w:val="32"/>
          <w:szCs w:val="32"/>
        </w:rPr>
      </w:pPr>
    </w:p>
    <w:p w14:paraId="3E45E424">
      <w:pPr>
        <w:jc w:val="center"/>
        <w:rPr>
          <w:rFonts w:hint="eastAsia" w:ascii="方正小标宋简体" w:hAnsi="仿宋" w:eastAsia="方正小标宋简体"/>
          <w:sz w:val="32"/>
          <w:szCs w:val="32"/>
        </w:rPr>
      </w:pPr>
    </w:p>
    <w:p w14:paraId="52DB1228">
      <w:pPr>
        <w:jc w:val="center"/>
        <w:rPr>
          <w:rFonts w:hint="eastAsia" w:ascii="方正小标宋简体" w:hAnsi="仿宋" w:eastAsia="方正小标宋简体"/>
          <w:sz w:val="32"/>
          <w:szCs w:val="32"/>
        </w:rPr>
      </w:pPr>
    </w:p>
    <w:p w14:paraId="094F48D7">
      <w:pPr>
        <w:jc w:val="center"/>
        <w:rPr>
          <w:rFonts w:hint="eastAsia" w:ascii="方正小标宋简体" w:hAnsi="仿宋" w:eastAsia="方正小标宋简体"/>
          <w:sz w:val="32"/>
          <w:szCs w:val="32"/>
        </w:rPr>
      </w:pPr>
    </w:p>
    <w:p w14:paraId="64F573F5">
      <w:pPr>
        <w:jc w:val="center"/>
        <w:rPr>
          <w:rFonts w:hint="eastAsia" w:ascii="方正小标宋简体" w:hAnsi="仿宋" w:eastAsia="方正小标宋简体"/>
          <w:sz w:val="32"/>
          <w:szCs w:val="32"/>
        </w:rPr>
      </w:pPr>
    </w:p>
    <w:p w14:paraId="0ED4E2F4">
      <w:pPr>
        <w:jc w:val="center"/>
        <w:rPr>
          <w:rFonts w:hint="eastAsia" w:ascii="方正小标宋简体" w:hAnsi="仿宋" w:eastAsia="方正小标宋简体"/>
          <w:sz w:val="32"/>
          <w:szCs w:val="32"/>
        </w:rPr>
      </w:pPr>
    </w:p>
    <w:p w14:paraId="00E53F82">
      <w:pPr>
        <w:jc w:val="center"/>
        <w:rPr>
          <w:rFonts w:hint="eastAsia" w:ascii="方正小标宋简体" w:hAnsi="仿宋" w:eastAsia="方正小标宋简体"/>
          <w:sz w:val="32"/>
          <w:szCs w:val="32"/>
        </w:rPr>
      </w:pPr>
    </w:p>
    <w:p w14:paraId="660CE076">
      <w:pPr>
        <w:jc w:val="center"/>
        <w:rPr>
          <w:rFonts w:hint="eastAsia" w:ascii="方正小标宋简体" w:hAnsi="仿宋" w:eastAsia="方正小标宋简体"/>
          <w:sz w:val="32"/>
          <w:szCs w:val="32"/>
        </w:rPr>
      </w:pPr>
    </w:p>
    <w:p w14:paraId="37239C66">
      <w:pPr>
        <w:jc w:val="center"/>
        <w:rPr>
          <w:rFonts w:hint="eastAsia" w:ascii="方正小标宋简体" w:hAnsi="仿宋" w:eastAsia="方正小标宋简体"/>
          <w:sz w:val="32"/>
          <w:szCs w:val="32"/>
        </w:rPr>
      </w:pPr>
    </w:p>
    <w:p w14:paraId="190730CA">
      <w:pPr>
        <w:jc w:val="both"/>
        <w:rPr>
          <w:rFonts w:hint="eastAsia" w:ascii="方正小标宋简体" w:hAnsi="仿宋" w:eastAsia="方正小标宋简体"/>
          <w:sz w:val="32"/>
          <w:szCs w:val="32"/>
        </w:rPr>
      </w:pPr>
    </w:p>
    <w:p w14:paraId="1440C044">
      <w:pPr>
        <w:jc w:val="center"/>
        <w:rPr>
          <w:rFonts w:hint="eastAsia" w:ascii="方正小标宋简体" w:hAnsi="仿宋" w:eastAsia="方正小标宋简体"/>
          <w:sz w:val="32"/>
          <w:szCs w:val="32"/>
        </w:rPr>
      </w:pPr>
    </w:p>
    <w:p w14:paraId="0ED62AB0">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第二部分</w:t>
      </w:r>
    </w:p>
    <w:p w14:paraId="46118AF6">
      <w:pPr>
        <w:jc w:val="center"/>
        <w:rPr>
          <w:rFonts w:hint="default" w:ascii="Times New Roman" w:hAnsi="Times New Roman" w:eastAsia="方正小标宋简体" w:cs="Times New Roman"/>
          <w:sz w:val="32"/>
          <w:szCs w:val="32"/>
        </w:rPr>
      </w:pPr>
    </w:p>
    <w:p w14:paraId="3F29EB5D">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西藏那曲班戈县纳木</w:t>
      </w:r>
      <w:r>
        <w:rPr>
          <w:rFonts w:hint="default" w:ascii="Times New Roman" w:hAnsi="Times New Roman" w:eastAsia="方正小标宋简体" w:cs="Times New Roman"/>
          <w:sz w:val="32"/>
          <w:szCs w:val="32"/>
          <w:lang w:eastAsia="zh-CN"/>
        </w:rPr>
        <w:t>错</w:t>
      </w:r>
      <w:r>
        <w:rPr>
          <w:rFonts w:hint="default" w:ascii="Times New Roman" w:hAnsi="Times New Roman" w:eastAsia="方正小标宋简体" w:cs="Times New Roman"/>
          <w:sz w:val="32"/>
          <w:szCs w:val="32"/>
        </w:rPr>
        <w:t>念青唐古拉山风景名胜区管理局202</w:t>
      </w:r>
      <w:r>
        <w:rPr>
          <w:rFonts w:hint="default" w:ascii="Times New Roman" w:hAnsi="Times New Roman" w:eastAsia="方正小标宋简体" w:cs="Times New Roman"/>
          <w:sz w:val="32"/>
          <w:szCs w:val="32"/>
          <w:lang w:val="en-US" w:eastAsia="zh-CN"/>
        </w:rPr>
        <w:t>5</w:t>
      </w:r>
      <w:r>
        <w:rPr>
          <w:rFonts w:hint="default" w:ascii="Times New Roman" w:hAnsi="Times New Roman" w:eastAsia="方正小标宋简体" w:cs="Times New Roman"/>
          <w:sz w:val="32"/>
          <w:szCs w:val="32"/>
        </w:rPr>
        <w:t>年度预算明细表</w:t>
      </w:r>
    </w:p>
    <w:p w14:paraId="0CE7759F">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（表格详见附件）</w:t>
      </w:r>
    </w:p>
    <w:p w14:paraId="0CAA63F6">
      <w:pPr>
        <w:rPr>
          <w:rFonts w:hint="default" w:ascii="Times New Roman" w:hAnsi="Times New Roman" w:eastAsia="仿宋" w:cs="Times New Roman"/>
          <w:sz w:val="32"/>
          <w:szCs w:val="32"/>
        </w:rPr>
      </w:pPr>
    </w:p>
    <w:p w14:paraId="6AA8EF2C">
      <w:pPr>
        <w:rPr>
          <w:rFonts w:hint="default" w:ascii="Times New Roman" w:hAnsi="Times New Roman" w:eastAsia="仿宋" w:cs="Times New Roman"/>
          <w:sz w:val="32"/>
          <w:szCs w:val="32"/>
        </w:rPr>
      </w:pPr>
    </w:p>
    <w:p w14:paraId="7FAC93E1">
      <w:pPr>
        <w:rPr>
          <w:rFonts w:hint="default" w:ascii="Times New Roman" w:hAnsi="Times New Roman" w:eastAsia="仿宋" w:cs="Times New Roman"/>
          <w:sz w:val="32"/>
          <w:szCs w:val="32"/>
        </w:rPr>
      </w:pPr>
    </w:p>
    <w:p w14:paraId="3A752959">
      <w:pPr>
        <w:rPr>
          <w:rFonts w:hint="default" w:ascii="Times New Roman" w:hAnsi="Times New Roman" w:eastAsia="仿宋" w:cs="Times New Roman"/>
          <w:sz w:val="32"/>
          <w:szCs w:val="32"/>
        </w:rPr>
      </w:pPr>
    </w:p>
    <w:p w14:paraId="6CF67D1D">
      <w:pPr>
        <w:rPr>
          <w:rFonts w:hint="default" w:ascii="Times New Roman" w:hAnsi="Times New Roman" w:eastAsia="仿宋" w:cs="Times New Roman"/>
          <w:sz w:val="32"/>
          <w:szCs w:val="32"/>
        </w:rPr>
      </w:pPr>
    </w:p>
    <w:p w14:paraId="27A825D7">
      <w:pPr>
        <w:rPr>
          <w:rFonts w:hint="default" w:ascii="Times New Roman" w:hAnsi="Times New Roman" w:eastAsia="仿宋" w:cs="Times New Roman"/>
          <w:sz w:val="32"/>
          <w:szCs w:val="32"/>
        </w:rPr>
      </w:pPr>
    </w:p>
    <w:p w14:paraId="0AC3C2C6">
      <w:pPr>
        <w:rPr>
          <w:rFonts w:hint="default" w:ascii="Times New Roman" w:hAnsi="Times New Roman" w:eastAsia="仿宋" w:cs="Times New Roman"/>
          <w:sz w:val="32"/>
          <w:szCs w:val="32"/>
        </w:rPr>
      </w:pPr>
    </w:p>
    <w:p w14:paraId="1F068D82">
      <w:pPr>
        <w:rPr>
          <w:rFonts w:hint="default" w:ascii="Times New Roman" w:hAnsi="Times New Roman" w:eastAsia="仿宋" w:cs="Times New Roman"/>
          <w:sz w:val="32"/>
          <w:szCs w:val="32"/>
        </w:rPr>
      </w:pPr>
    </w:p>
    <w:p w14:paraId="0B3D389F">
      <w:pPr>
        <w:rPr>
          <w:rFonts w:hint="default" w:ascii="Times New Roman" w:hAnsi="Times New Roman" w:eastAsia="仿宋" w:cs="Times New Roman"/>
          <w:sz w:val="32"/>
          <w:szCs w:val="32"/>
        </w:rPr>
      </w:pPr>
    </w:p>
    <w:p w14:paraId="59B5C253">
      <w:pPr>
        <w:rPr>
          <w:rFonts w:hint="default" w:ascii="Times New Roman" w:hAnsi="Times New Roman" w:eastAsia="仿宋" w:cs="Times New Roman"/>
          <w:sz w:val="32"/>
          <w:szCs w:val="32"/>
        </w:rPr>
      </w:pPr>
    </w:p>
    <w:p w14:paraId="6FE38253">
      <w:pPr>
        <w:rPr>
          <w:rFonts w:hint="default" w:ascii="Times New Roman" w:hAnsi="Times New Roman" w:eastAsia="仿宋" w:cs="Times New Roman"/>
          <w:sz w:val="32"/>
          <w:szCs w:val="32"/>
        </w:rPr>
      </w:pPr>
    </w:p>
    <w:p w14:paraId="3F33E410">
      <w:pPr>
        <w:rPr>
          <w:rFonts w:hint="default" w:ascii="Times New Roman" w:hAnsi="Times New Roman" w:eastAsia="仿宋" w:cs="Times New Roman"/>
          <w:sz w:val="32"/>
          <w:szCs w:val="32"/>
        </w:rPr>
      </w:pPr>
    </w:p>
    <w:p w14:paraId="0B110507">
      <w:pPr>
        <w:rPr>
          <w:rFonts w:hint="default" w:ascii="Times New Roman" w:hAnsi="Times New Roman" w:eastAsia="仿宋" w:cs="Times New Roman"/>
          <w:sz w:val="32"/>
          <w:szCs w:val="32"/>
        </w:rPr>
      </w:pPr>
    </w:p>
    <w:p w14:paraId="46F7FDD3">
      <w:pPr>
        <w:jc w:val="center"/>
        <w:rPr>
          <w:rFonts w:hint="default" w:ascii="Times New Roman" w:hAnsi="Times New Roman" w:eastAsia="黑体" w:cs="Times New Roman"/>
          <w:sz w:val="32"/>
          <w:szCs w:val="32"/>
        </w:rPr>
      </w:pPr>
    </w:p>
    <w:p w14:paraId="16961984">
      <w:pPr>
        <w:jc w:val="center"/>
        <w:rPr>
          <w:rFonts w:hint="default" w:ascii="Times New Roman" w:hAnsi="Times New Roman" w:eastAsia="黑体" w:cs="Times New Roman"/>
          <w:sz w:val="32"/>
          <w:szCs w:val="32"/>
        </w:rPr>
      </w:pPr>
    </w:p>
    <w:p w14:paraId="0510BD4F">
      <w:pPr>
        <w:jc w:val="center"/>
        <w:rPr>
          <w:rFonts w:hint="default" w:ascii="Times New Roman" w:hAnsi="Times New Roman" w:eastAsia="黑体" w:cs="Times New Roman"/>
          <w:sz w:val="32"/>
          <w:szCs w:val="32"/>
        </w:rPr>
      </w:pPr>
    </w:p>
    <w:p w14:paraId="6199AA17">
      <w:pPr>
        <w:jc w:val="both"/>
        <w:rPr>
          <w:rFonts w:hint="default" w:ascii="Times New Roman" w:hAnsi="Times New Roman" w:eastAsia="黑体" w:cs="Times New Roman"/>
          <w:sz w:val="32"/>
          <w:szCs w:val="32"/>
        </w:rPr>
      </w:pPr>
    </w:p>
    <w:p w14:paraId="35F64A80">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第三部分</w:t>
      </w:r>
    </w:p>
    <w:p w14:paraId="7DC3C1AC">
      <w:pPr>
        <w:jc w:val="center"/>
        <w:rPr>
          <w:rFonts w:hint="default" w:ascii="Times New Roman" w:hAnsi="Times New Roman" w:eastAsia="方正小标宋简体" w:cs="Times New Roman"/>
          <w:sz w:val="32"/>
          <w:szCs w:val="32"/>
        </w:rPr>
      </w:pPr>
    </w:p>
    <w:p w14:paraId="046901EB">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西藏那曲班戈县纳木</w:t>
      </w:r>
      <w:r>
        <w:rPr>
          <w:rFonts w:hint="default" w:ascii="Times New Roman" w:hAnsi="Times New Roman" w:eastAsia="方正小标宋简体" w:cs="Times New Roman"/>
          <w:sz w:val="32"/>
          <w:szCs w:val="32"/>
          <w:lang w:eastAsia="zh-CN"/>
        </w:rPr>
        <w:t>错</w:t>
      </w:r>
      <w:r>
        <w:rPr>
          <w:rFonts w:hint="default" w:ascii="Times New Roman" w:hAnsi="Times New Roman" w:eastAsia="方正小标宋简体" w:cs="Times New Roman"/>
          <w:sz w:val="32"/>
          <w:szCs w:val="32"/>
        </w:rPr>
        <w:t>念青唐古拉山风景名胜区管理局202</w:t>
      </w:r>
      <w:r>
        <w:rPr>
          <w:rFonts w:hint="default" w:ascii="Times New Roman" w:hAnsi="Times New Roman" w:eastAsia="方正小标宋简体" w:cs="Times New Roman"/>
          <w:sz w:val="32"/>
          <w:szCs w:val="32"/>
          <w:lang w:val="en-US" w:eastAsia="zh-CN"/>
        </w:rPr>
        <w:t>5</w:t>
      </w:r>
      <w:r>
        <w:rPr>
          <w:rFonts w:hint="default" w:ascii="Times New Roman" w:hAnsi="Times New Roman" w:eastAsia="方正小标宋简体" w:cs="Times New Roman"/>
          <w:sz w:val="32"/>
          <w:szCs w:val="32"/>
        </w:rPr>
        <w:t>年度部门预算数据分析</w:t>
      </w:r>
    </w:p>
    <w:p w14:paraId="602FBE9F">
      <w:pPr>
        <w:jc w:val="center"/>
        <w:rPr>
          <w:rFonts w:hint="default" w:ascii="Times New Roman" w:hAnsi="Times New Roman" w:eastAsia="黑体" w:cs="Times New Roman"/>
          <w:sz w:val="32"/>
          <w:szCs w:val="32"/>
        </w:rPr>
      </w:pPr>
    </w:p>
    <w:p w14:paraId="5A1937EF">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年部门收支总表的说明</w:t>
      </w:r>
    </w:p>
    <w:p w14:paraId="2E0CDCC5">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年收支总预算</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414.64</w:t>
      </w:r>
      <w:r>
        <w:rPr>
          <w:rFonts w:hint="default" w:ascii="Times New Roman" w:hAnsi="Times New Roman" w:eastAsia="仿宋" w:cs="Times New Roman"/>
          <w:sz w:val="32"/>
          <w:szCs w:val="32"/>
        </w:rPr>
        <w:t>万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w:t>
      </w:r>
    </w:p>
    <w:p w14:paraId="57B0E4DB">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年度部门收入总表的说明</w:t>
      </w:r>
    </w:p>
    <w:p w14:paraId="331126A3">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收入预算</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406.94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万元，其中：上年结转</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7.7</w:t>
      </w:r>
      <w:r>
        <w:rPr>
          <w:rFonts w:hint="default" w:ascii="Times New Roman" w:hAnsi="Times New Roman" w:eastAsia="仿宋" w:cs="Times New Roman"/>
          <w:sz w:val="32"/>
          <w:szCs w:val="32"/>
        </w:rPr>
        <w:t>万元， 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1.9 </w:t>
      </w:r>
      <w:r>
        <w:rPr>
          <w:rFonts w:hint="default" w:ascii="Times New Roman" w:hAnsi="Times New Roman" w:eastAsia="仿宋" w:cs="Times New Roman"/>
          <w:sz w:val="32"/>
          <w:szCs w:val="32"/>
        </w:rPr>
        <w:t>%；一般公共预算拨款收入</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406.94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98</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w:t>
      </w:r>
    </w:p>
    <w:p w14:paraId="70AF4B4B">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年部门支出总表的说明</w:t>
      </w:r>
    </w:p>
    <w:p w14:paraId="13D0CA68">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年支出预算</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414.64</w:t>
      </w:r>
      <w:r>
        <w:rPr>
          <w:rFonts w:hint="default" w:ascii="Times New Roman" w:hAnsi="Times New Roman" w:eastAsia="仿宋" w:cs="Times New Roman"/>
          <w:sz w:val="32"/>
          <w:szCs w:val="32"/>
        </w:rPr>
        <w:t>万元，其中：基本支出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414.64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100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p>
    <w:p w14:paraId="4522E18B">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年财政拨款收支总表的说明</w:t>
      </w:r>
    </w:p>
    <w:p w14:paraId="7273759B">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年财政拨款收支总预算</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414.64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万元。收入为一般公共预算拨款，包括：一般公共预算当年拨款收入</w:t>
      </w:r>
      <w:r>
        <w:rPr>
          <w:rFonts w:hint="default" w:ascii="Times New Roman" w:hAnsi="Times New Roman" w:eastAsia="仿宋" w:cs="Times New Roman"/>
          <w:sz w:val="32"/>
          <w:szCs w:val="32"/>
          <w:u w:val="single"/>
          <w:lang w:val="en-US" w:eastAsia="zh-CN"/>
        </w:rPr>
        <w:t>406.94</w:t>
      </w:r>
      <w:r>
        <w:rPr>
          <w:rFonts w:hint="default" w:ascii="Times New Roman" w:hAnsi="Times New Roman" w:eastAsia="仿宋" w:cs="Times New Roman"/>
          <w:sz w:val="32"/>
          <w:szCs w:val="32"/>
        </w:rPr>
        <w:t>万元、上年结转</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7.7 </w:t>
      </w:r>
      <w:r>
        <w:rPr>
          <w:rFonts w:hint="default" w:ascii="Times New Roman" w:hAnsi="Times New Roman" w:eastAsia="仿宋" w:cs="Times New Roman"/>
          <w:sz w:val="32"/>
          <w:szCs w:val="32"/>
        </w:rPr>
        <w:t>万元；支出包括：文化旅游体育与传媒支出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315.38</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万元、社会保障和就业支出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43.06</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万元、卫生健康支出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22.21</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万元、住房保障支出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30.57</w:t>
      </w:r>
      <w:r>
        <w:rPr>
          <w:rFonts w:hint="default" w:ascii="Times New Roman" w:hAnsi="Times New Roman" w:eastAsia="仿宋" w:cs="Times New Roman"/>
          <w:sz w:val="32"/>
          <w:szCs w:val="32"/>
        </w:rPr>
        <w:t>万元。</w:t>
      </w:r>
    </w:p>
    <w:p w14:paraId="08BA1C47">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年一般公共预算支出表的说明</w:t>
      </w:r>
    </w:p>
    <w:p w14:paraId="5DE85171">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（一）一般公共预算当年拨款规模变化情况。</w:t>
      </w:r>
    </w:p>
    <w:p w14:paraId="4B6E2C8F">
      <w:pPr>
        <w:ind w:firstLine="640" w:firstLineChars="200"/>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年一般公共预算当年拨款</w:t>
      </w:r>
      <w:r>
        <w:rPr>
          <w:rFonts w:hint="default" w:ascii="Times New Roman" w:hAnsi="Times New Roman" w:eastAsia="仿宋" w:cs="Times New Roman"/>
          <w:sz w:val="32"/>
          <w:szCs w:val="32"/>
          <w:u w:val="single"/>
          <w:lang w:val="en-US" w:eastAsia="zh-CN"/>
        </w:rPr>
        <w:t xml:space="preserve">  414.64 </w:t>
      </w:r>
      <w:r>
        <w:rPr>
          <w:rFonts w:hint="default" w:ascii="Times New Roman" w:hAnsi="Times New Roman" w:eastAsia="仿宋" w:cs="Times New Roman"/>
          <w:sz w:val="32"/>
          <w:szCs w:val="32"/>
        </w:rPr>
        <w:t>万元,比202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 xml:space="preserve"> 年执行数</w:t>
      </w:r>
      <w:r>
        <w:rPr>
          <w:rFonts w:hint="default" w:ascii="Times New Roman" w:hAnsi="Times New Roman" w:eastAsia="仿宋" w:cs="Times New Roman"/>
          <w:sz w:val="32"/>
          <w:szCs w:val="32"/>
          <w:lang w:val="en-US" w:eastAsia="zh-CN"/>
        </w:rPr>
        <w:t>增加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126.95 </w:t>
      </w:r>
      <w:r>
        <w:rPr>
          <w:rFonts w:hint="default" w:ascii="Times New Roman" w:hAnsi="Times New Roman" w:eastAsia="仿宋" w:cs="Times New Roman"/>
          <w:sz w:val="32"/>
          <w:szCs w:val="32"/>
        </w:rPr>
        <w:t>万元，主要原因</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主要</w:t>
      </w:r>
      <w:r>
        <w:rPr>
          <w:rFonts w:hint="default" w:ascii="Times New Roman" w:hAnsi="Times New Roman" w:eastAsia="仿宋" w:cs="Times New Roman"/>
          <w:sz w:val="32"/>
          <w:szCs w:val="32"/>
          <w:highlight w:val="none"/>
          <w:lang w:val="en-US" w:eastAsia="zh-CN"/>
        </w:rPr>
        <w:t>人员经费提标和单位</w:t>
      </w:r>
      <w:r>
        <w:rPr>
          <w:rFonts w:hint="default" w:ascii="Times New Roman" w:hAnsi="Times New Roman" w:eastAsia="仿宋" w:cs="Times New Roman"/>
          <w:sz w:val="32"/>
          <w:szCs w:val="32"/>
          <w:highlight w:val="none"/>
          <w:lang w:eastAsia="zh-CN"/>
        </w:rPr>
        <w:t>人员</w:t>
      </w:r>
      <w:r>
        <w:rPr>
          <w:rFonts w:hint="default" w:ascii="Times New Roman" w:hAnsi="Times New Roman" w:eastAsia="仿宋" w:cs="Times New Roman"/>
          <w:sz w:val="32"/>
          <w:szCs w:val="32"/>
          <w:highlight w:val="none"/>
          <w:lang w:val="en-US" w:eastAsia="zh-CN"/>
        </w:rPr>
        <w:t>变动增加</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14:paraId="342E4480">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（二）一般公共预算当年拨款结构情况。</w:t>
      </w:r>
    </w:p>
    <w:p w14:paraId="5592845A">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文化旅游体育与传媒支出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315.38</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76.1</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%；社会保障和就业支出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43.06</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10.4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%；卫生健康支出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22.21</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5.4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；住房保障支出</w:t>
      </w:r>
      <w:r>
        <w:rPr>
          <w:rFonts w:hint="default" w:ascii="Times New Roman" w:hAnsi="Times New Roman" w:eastAsia="仿宋" w:cs="Times New Roman"/>
          <w:sz w:val="32"/>
          <w:szCs w:val="32"/>
          <w:u w:val="single"/>
          <w:lang w:val="en-US" w:eastAsia="zh-CN"/>
        </w:rPr>
        <w:t>30.57</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7.4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p>
    <w:p w14:paraId="56E70A30">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（三）一般公共预算当年拨款具体使用情况。</w:t>
      </w:r>
    </w:p>
    <w:p w14:paraId="689447EC">
      <w:pPr>
        <w:ind w:firstLine="640" w:firstLineChars="200"/>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1.一般公共服务支出（类</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文化旅游体育与传媒支出（款）行政运行（项）202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 xml:space="preserve">315.38 </w:t>
      </w:r>
      <w:r>
        <w:rPr>
          <w:rFonts w:hint="default" w:ascii="Times New Roman" w:hAnsi="Times New Roman" w:eastAsia="仿宋" w:cs="Times New Roman"/>
          <w:color w:val="000000" w:themeColor="text1"/>
          <w:sz w:val="32"/>
          <w:szCs w:val="32"/>
          <w:highlight w:val="none"/>
          <w14:textFill>
            <w14:solidFill>
              <w14:schemeClr w14:val="tx1"/>
            </w14:solidFill>
          </w14:textFill>
        </w:rPr>
        <w:t>万元，比202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年执行数</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增加</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98.53</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万元，</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增加</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45.4</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%。主要是</w:t>
      </w:r>
      <w:r>
        <w:rPr>
          <w:rFonts w:hint="default" w:ascii="Times New Roman" w:hAnsi="Times New Roman" w:eastAsia="仿宋" w:cs="Times New Roman"/>
          <w:sz w:val="32"/>
          <w:szCs w:val="32"/>
          <w:highlight w:val="none"/>
          <w:lang w:val="en-US" w:eastAsia="zh-CN"/>
        </w:rPr>
        <w:t>人员经费提标和单位</w:t>
      </w:r>
      <w:r>
        <w:rPr>
          <w:rFonts w:hint="default" w:ascii="Times New Roman" w:hAnsi="Times New Roman" w:eastAsia="仿宋" w:cs="Times New Roman"/>
          <w:sz w:val="32"/>
          <w:szCs w:val="32"/>
          <w:highlight w:val="none"/>
          <w:lang w:eastAsia="zh-CN"/>
        </w:rPr>
        <w:t>人员</w:t>
      </w:r>
      <w:r>
        <w:rPr>
          <w:rFonts w:hint="default" w:ascii="Times New Roman" w:hAnsi="Times New Roman" w:eastAsia="仿宋" w:cs="Times New Roman"/>
          <w:sz w:val="32"/>
          <w:szCs w:val="32"/>
          <w:highlight w:val="none"/>
          <w:lang w:val="en-US" w:eastAsia="zh-CN"/>
        </w:rPr>
        <w:t>变动增加</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14:paraId="2B1761F8">
      <w:pPr>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2.社会保障和就业支出202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43.06 </w:t>
      </w:r>
      <w:r>
        <w:rPr>
          <w:rFonts w:hint="default" w:ascii="Times New Roman" w:hAnsi="Times New Roman" w:eastAsia="仿宋" w:cs="Times New Roman"/>
          <w:color w:val="000000" w:themeColor="text1"/>
          <w:sz w:val="32"/>
          <w:szCs w:val="32"/>
          <w:highlight w:val="none"/>
          <w14:textFill>
            <w14:solidFill>
              <w14:schemeClr w14:val="tx1"/>
            </w14:solidFill>
          </w14:textFill>
        </w:rPr>
        <w:t>万元，比202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年执行数</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增加</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10.81</w:t>
      </w:r>
      <w:r>
        <w:rPr>
          <w:rFonts w:hint="default" w:ascii="Times New Roman" w:hAnsi="Times New Roman" w:eastAsia="仿宋" w:cs="Times New Roman"/>
          <w:color w:val="000000" w:themeColor="text1"/>
          <w:sz w:val="32"/>
          <w:szCs w:val="32"/>
          <w:highlight w:val="none"/>
          <w14:textFill>
            <w14:solidFill>
              <w14:schemeClr w14:val="tx1"/>
            </w14:solidFill>
          </w14:textFill>
        </w:rPr>
        <w:t>万元，</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增加</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33.5</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%。主要是</w:t>
      </w:r>
      <w:r>
        <w:rPr>
          <w:rFonts w:hint="default" w:ascii="Times New Roman" w:hAnsi="Times New Roman" w:eastAsia="仿宋" w:cs="Times New Roman"/>
          <w:sz w:val="32"/>
          <w:szCs w:val="32"/>
          <w:highlight w:val="none"/>
          <w:lang w:val="en-US" w:eastAsia="zh-CN"/>
        </w:rPr>
        <w:t>人员经费提标和单位</w:t>
      </w:r>
      <w:r>
        <w:rPr>
          <w:rFonts w:hint="default" w:ascii="Times New Roman" w:hAnsi="Times New Roman" w:eastAsia="仿宋" w:cs="Times New Roman"/>
          <w:sz w:val="32"/>
          <w:szCs w:val="32"/>
          <w:highlight w:val="none"/>
          <w:lang w:eastAsia="zh-CN"/>
        </w:rPr>
        <w:t>人员</w:t>
      </w:r>
      <w:r>
        <w:rPr>
          <w:rFonts w:hint="default" w:ascii="Times New Roman" w:hAnsi="Times New Roman" w:eastAsia="仿宋" w:cs="Times New Roman"/>
          <w:sz w:val="32"/>
          <w:szCs w:val="32"/>
          <w:highlight w:val="none"/>
          <w:lang w:val="en-US" w:eastAsia="zh-CN"/>
        </w:rPr>
        <w:t>变动增加</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14:paraId="3B496CD1">
      <w:pPr>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highlight w:val="none"/>
          <w14:textFill>
            <w14:solidFill>
              <w14:schemeClr w14:val="tx1"/>
            </w14:solidFill>
          </w14:textFill>
        </w:rPr>
        <w:t>.卫生健康支出202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22.21</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万元，比202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年执行数</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增加</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5.61</w:t>
      </w:r>
      <w:r>
        <w:rPr>
          <w:rFonts w:hint="default" w:ascii="Times New Roman" w:hAnsi="Times New Roman" w:eastAsia="仿宋" w:cs="Times New Roman"/>
          <w:color w:val="000000" w:themeColor="text1"/>
          <w:sz w:val="32"/>
          <w:szCs w:val="32"/>
          <w:highlight w:val="none"/>
          <w14:textFill>
            <w14:solidFill>
              <w14:schemeClr w14:val="tx1"/>
            </w14:solidFill>
          </w14:textFill>
        </w:rPr>
        <w:t>万元，</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增加</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 xml:space="preserve">33.8 </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%。主要是</w:t>
      </w:r>
      <w:r>
        <w:rPr>
          <w:rFonts w:hint="default" w:ascii="Times New Roman" w:hAnsi="Times New Roman" w:eastAsia="仿宋" w:cs="Times New Roman"/>
          <w:sz w:val="32"/>
          <w:szCs w:val="32"/>
          <w:highlight w:val="none"/>
          <w:lang w:val="en-US" w:eastAsia="zh-CN"/>
        </w:rPr>
        <w:t>人员经费提标和单位</w:t>
      </w:r>
      <w:r>
        <w:rPr>
          <w:rFonts w:hint="default" w:ascii="Times New Roman" w:hAnsi="Times New Roman" w:eastAsia="仿宋" w:cs="Times New Roman"/>
          <w:sz w:val="32"/>
          <w:szCs w:val="32"/>
          <w:highlight w:val="none"/>
          <w:lang w:eastAsia="zh-CN"/>
        </w:rPr>
        <w:t>人员</w:t>
      </w:r>
      <w:r>
        <w:rPr>
          <w:rFonts w:hint="default" w:ascii="Times New Roman" w:hAnsi="Times New Roman" w:eastAsia="仿宋" w:cs="Times New Roman"/>
          <w:sz w:val="32"/>
          <w:szCs w:val="32"/>
          <w:highlight w:val="none"/>
          <w:lang w:val="en-US" w:eastAsia="zh-CN"/>
        </w:rPr>
        <w:t>变动增加</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14:paraId="59F29263">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住房保障支出202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30.57</w:t>
      </w:r>
      <w:r>
        <w:rPr>
          <w:rFonts w:hint="default" w:ascii="Times New Roman" w:hAnsi="Times New Roman" w:eastAsia="仿宋" w:cs="Times New Roman"/>
          <w:color w:val="000000" w:themeColor="text1"/>
          <w:sz w:val="32"/>
          <w:szCs w:val="32"/>
          <w:highlight w:val="none"/>
          <w14:textFill>
            <w14:solidFill>
              <w14:schemeClr w14:val="tx1"/>
            </w14:solidFill>
          </w14:textFill>
        </w:rPr>
        <w:t>万元，比202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年执行数</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增加</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8.58</w:t>
      </w:r>
      <w:r>
        <w:rPr>
          <w:rFonts w:hint="default" w:ascii="Times New Roman" w:hAnsi="Times New Roman" w:eastAsia="仿宋" w:cs="Times New Roman"/>
          <w:color w:val="000000" w:themeColor="text1"/>
          <w:sz w:val="32"/>
          <w:szCs w:val="32"/>
          <w:highlight w:val="none"/>
          <w14:textFill>
            <w14:solidFill>
              <w14:schemeClr w14:val="tx1"/>
            </w14:solidFill>
          </w14:textFill>
        </w:rPr>
        <w:t>万元，</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增加</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39</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%。主要是</w:t>
      </w:r>
      <w:r>
        <w:rPr>
          <w:rFonts w:hint="default" w:ascii="Times New Roman" w:hAnsi="Times New Roman" w:eastAsia="仿宋" w:cs="Times New Roman"/>
          <w:sz w:val="32"/>
          <w:szCs w:val="32"/>
          <w:highlight w:val="none"/>
          <w:lang w:val="en-US" w:eastAsia="zh-CN"/>
        </w:rPr>
        <w:t>人员经费提标和单位</w:t>
      </w:r>
      <w:r>
        <w:rPr>
          <w:rFonts w:hint="default" w:ascii="Times New Roman" w:hAnsi="Times New Roman" w:eastAsia="仿宋" w:cs="Times New Roman"/>
          <w:sz w:val="32"/>
          <w:szCs w:val="32"/>
          <w:highlight w:val="none"/>
          <w:lang w:eastAsia="zh-CN"/>
        </w:rPr>
        <w:t>人员</w:t>
      </w:r>
      <w:r>
        <w:rPr>
          <w:rFonts w:hint="default" w:ascii="Times New Roman" w:hAnsi="Times New Roman" w:eastAsia="仿宋" w:cs="Times New Roman"/>
          <w:sz w:val="32"/>
          <w:szCs w:val="32"/>
          <w:highlight w:val="none"/>
          <w:lang w:val="en-US" w:eastAsia="zh-CN"/>
        </w:rPr>
        <w:t>变动增加</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14:paraId="70E41F49">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年一般公共预算基本支出表的说明</w:t>
      </w:r>
    </w:p>
    <w:p w14:paraId="6FE5B5D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年一般公共预算基本支出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414.64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万元，其中：人员经费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377.95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主要包括（以下内容根据部门具体情况进行填列）：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14:paraId="666A9DAA">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公用经费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36.69</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主要包括（以下内容根据部门具体情况进行填列）：商品和服务支出（办公费、印刷费、咨询费、手续费、水费、电费、邮电费、取暖费、物业管理费、差旅费、因公出国(境)费用、维修(护)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w:t>
      </w:r>
    </w:p>
    <w:p w14:paraId="378B435C">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（教育部门根据预算安排情况填列本部门涉及的免费教育经费、生均公用经费、其他商品和服务支出的具体科目。）</w:t>
      </w:r>
    </w:p>
    <w:p w14:paraId="3632DF05">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年度一般公共预算“三公”经费预算情况说明</w:t>
      </w:r>
    </w:p>
    <w:p w14:paraId="1FC22E7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三公</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经费2025年预算数</w:t>
      </w:r>
      <w:r>
        <w:rPr>
          <w:rFonts w:hint="default" w:ascii="Times New Roman" w:hAnsi="Times New Roman" w:eastAsia="仿宋" w:cs="Times New Roman"/>
          <w:sz w:val="32"/>
          <w:szCs w:val="32"/>
          <w:u w:val="single"/>
          <w:lang w:val="en-US" w:eastAsia="zh-CN"/>
        </w:rPr>
        <w:t>8.28</w:t>
      </w:r>
      <w:r>
        <w:rPr>
          <w:rFonts w:hint="default" w:ascii="Times New Roman" w:hAnsi="Times New Roman" w:eastAsia="仿宋" w:cs="Times New Roman"/>
          <w:sz w:val="32"/>
          <w:szCs w:val="32"/>
          <w:lang w:val="en-US" w:eastAsia="zh-CN"/>
        </w:rPr>
        <w:t>万元，其中公务用车运行费</w:t>
      </w:r>
      <w:r>
        <w:rPr>
          <w:rFonts w:hint="default" w:ascii="Times New Roman" w:hAnsi="Times New Roman" w:eastAsia="仿宋" w:cs="Times New Roman"/>
          <w:sz w:val="32"/>
          <w:szCs w:val="32"/>
          <w:u w:val="single"/>
          <w:lang w:val="en-US" w:eastAsia="zh-CN"/>
        </w:rPr>
        <w:t>7.8</w:t>
      </w:r>
      <w:r>
        <w:rPr>
          <w:rFonts w:hint="default" w:ascii="Times New Roman" w:hAnsi="Times New Roman" w:eastAsia="仿宋" w:cs="Times New Roman"/>
          <w:sz w:val="32"/>
          <w:szCs w:val="32"/>
          <w:lang w:val="en-US" w:eastAsia="zh-CN"/>
        </w:rPr>
        <w:t>万元、公务接待费</w:t>
      </w:r>
      <w:r>
        <w:rPr>
          <w:rFonts w:hint="default" w:ascii="Times New Roman" w:hAnsi="Times New Roman" w:eastAsia="仿宋" w:cs="Times New Roman"/>
          <w:sz w:val="32"/>
          <w:szCs w:val="32"/>
          <w:u w:val="single"/>
          <w:lang w:val="en-US" w:eastAsia="zh-CN"/>
        </w:rPr>
        <w:t>0.48</w:t>
      </w:r>
      <w:r>
        <w:rPr>
          <w:rFonts w:hint="default" w:ascii="Times New Roman" w:hAnsi="Times New Roman" w:eastAsia="仿宋" w:cs="Times New Roman"/>
          <w:sz w:val="32"/>
          <w:szCs w:val="32"/>
          <w:lang w:val="en-US" w:eastAsia="zh-CN"/>
        </w:rPr>
        <w:t>万元。</w:t>
      </w:r>
    </w:p>
    <w:p w14:paraId="4FD950B7">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八、202</w:t>
      </w:r>
      <w:r>
        <w:rPr>
          <w:rFonts w:hint="eastAsia" w:eastAsia="黑体" w:cs="Times New Roman"/>
          <w:sz w:val="32"/>
          <w:szCs w:val="32"/>
          <w:lang w:val="en-US" w:eastAsia="zh-CN"/>
        </w:rPr>
        <w:t>5</w:t>
      </w:r>
      <w:r>
        <w:rPr>
          <w:rFonts w:hint="default" w:ascii="Times New Roman" w:hAnsi="Times New Roman" w:eastAsia="黑体" w:cs="Times New Roman"/>
          <w:sz w:val="32"/>
          <w:szCs w:val="32"/>
        </w:rPr>
        <w:t>年度政府性基金预算支出情况说明</w:t>
      </w:r>
    </w:p>
    <w:p w14:paraId="25EA9883">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本单位无涉及。</w:t>
      </w:r>
    </w:p>
    <w:p w14:paraId="64432800">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九、其他重要事项的情况说明</w:t>
      </w:r>
    </w:p>
    <w:p w14:paraId="76DF72D6">
      <w:pPr>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（一）机关运行经费安排使用情况说明。</w:t>
      </w:r>
      <w:r>
        <w:rPr>
          <w:rFonts w:hint="default" w:ascii="Times New Roman" w:hAnsi="Times New Roman" w:eastAsia="仿宋" w:cs="Times New Roman"/>
          <w:sz w:val="32"/>
          <w:szCs w:val="32"/>
          <w:lang w:val="en-US" w:eastAsia="zh-CN"/>
        </w:rPr>
        <w:t>2025年机关运行经费（公用经费）</w:t>
      </w:r>
      <w:r>
        <w:rPr>
          <w:rFonts w:hint="default" w:ascii="Times New Roman" w:hAnsi="Times New Roman" w:eastAsia="仿宋" w:cs="Times New Roman"/>
          <w:sz w:val="32"/>
          <w:szCs w:val="32"/>
        </w:rPr>
        <w:t>财政拨款预算</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36.69</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万元，比202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年预算</w:t>
      </w:r>
      <w:bookmarkStart w:id="0" w:name="_GoBack"/>
      <w:bookmarkEnd w:id="0"/>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增加</w:t>
      </w:r>
      <w:r>
        <w:rPr>
          <w:rFonts w:hint="default" w:ascii="Times New Roman" w:hAnsi="Times New Roman" w:eastAsia="仿宋" w:cs="Times New Roman"/>
          <w:sz w:val="32"/>
          <w:szCs w:val="32"/>
          <w:u w:val="single"/>
        </w:rPr>
        <w:t>）</w:t>
      </w:r>
      <w:r>
        <w:rPr>
          <w:rFonts w:hint="default" w:ascii="Times New Roman" w:hAnsi="Times New Roman" w:eastAsia="仿宋" w:cs="Times New Roman"/>
          <w:sz w:val="32"/>
          <w:szCs w:val="32"/>
          <w:u w:val="single"/>
          <w:lang w:val="en-US" w:eastAsia="zh-CN"/>
        </w:rPr>
        <w:t>15.13</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增加</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lang w:val="en-US" w:eastAsia="zh-CN"/>
        </w:rPr>
        <w:t>70.2</w:t>
      </w:r>
      <w:r>
        <w:rPr>
          <w:rFonts w:hint="default" w:ascii="Times New Roman" w:hAnsi="Times New Roman" w:eastAsia="仿宋" w:cs="Times New Roman"/>
          <w:sz w:val="32"/>
          <w:szCs w:val="32"/>
          <w:u w:val="single"/>
        </w:rPr>
        <w:t>%</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主要是</w:t>
      </w:r>
      <w:r>
        <w:rPr>
          <w:rFonts w:hint="default" w:ascii="Times New Roman" w:hAnsi="Times New Roman" w:eastAsia="仿宋" w:cs="Times New Roman"/>
          <w:sz w:val="32"/>
          <w:szCs w:val="32"/>
          <w:highlight w:val="none"/>
          <w:lang w:val="en-US" w:eastAsia="zh-CN"/>
        </w:rPr>
        <w:t>人员经费提标和单位</w:t>
      </w:r>
      <w:r>
        <w:rPr>
          <w:rFonts w:hint="default" w:ascii="Times New Roman" w:hAnsi="Times New Roman" w:eastAsia="仿宋" w:cs="Times New Roman"/>
          <w:sz w:val="32"/>
          <w:szCs w:val="32"/>
          <w:highlight w:val="none"/>
          <w:lang w:eastAsia="zh-CN"/>
        </w:rPr>
        <w:t>人员</w:t>
      </w:r>
      <w:r>
        <w:rPr>
          <w:rFonts w:hint="default" w:ascii="Times New Roman" w:hAnsi="Times New Roman" w:eastAsia="仿宋" w:cs="Times New Roman"/>
          <w:sz w:val="32"/>
          <w:szCs w:val="32"/>
          <w:highlight w:val="none"/>
          <w:lang w:val="en-US" w:eastAsia="zh-CN"/>
        </w:rPr>
        <w:t>变动增加</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14:paraId="5455BDD0">
      <w:pPr>
        <w:autoSpaceDE w:val="0"/>
        <w:autoSpaceDN w:val="0"/>
        <w:adjustRightInd w:val="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（二）政府采购情况说明。</w:t>
      </w:r>
    </w:p>
    <w:p w14:paraId="07722536">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 w:cs="Times New Roman"/>
          <w:sz w:val="32"/>
          <w:szCs w:val="32"/>
          <w:lang w:eastAsia="zh-CN"/>
        </w:rPr>
        <w:t>本单位无涉及</w:t>
      </w:r>
      <w:r>
        <w:rPr>
          <w:rFonts w:hint="default" w:ascii="Times New Roman" w:hAnsi="Times New Roman" w:eastAsia="仿宋" w:cs="Times New Roman"/>
          <w:sz w:val="32"/>
          <w:szCs w:val="32"/>
        </w:rPr>
        <w:t>。</w:t>
      </w:r>
    </w:p>
    <w:p w14:paraId="76A46B4D">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（三）国有资产占有使用情况说明。</w:t>
      </w:r>
    </w:p>
    <w:p w14:paraId="4E203F26">
      <w:pPr>
        <w:spacing w:line="588"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本单位无涉及</w:t>
      </w:r>
    </w:p>
    <w:p w14:paraId="08CEE01E">
      <w:pPr>
        <w:spacing w:line="588" w:lineRule="exact"/>
        <w:rPr>
          <w:rFonts w:hint="default" w:ascii="Times New Roman" w:hAnsi="Times New Roman" w:eastAsia="仿宋" w:cs="Times New Roman"/>
          <w:b/>
          <w:sz w:val="32"/>
          <w:szCs w:val="32"/>
        </w:rPr>
      </w:pPr>
      <w:r>
        <w:rPr>
          <w:rFonts w:hint="default" w:ascii="Times New Roman" w:hAnsi="Times New Roman" w:eastAsia="楷体" w:cs="Times New Roman"/>
          <w:sz w:val="32"/>
          <w:szCs w:val="32"/>
        </w:rPr>
        <w:t>（四）202</w:t>
      </w:r>
      <w:r>
        <w:rPr>
          <w:rFonts w:hint="default"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rPr>
        <w:t>年预算绩效目标管理情况。</w:t>
      </w:r>
    </w:p>
    <w:p w14:paraId="253CFC2A">
      <w:pPr>
        <w:spacing w:line="588"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2025年重点项目预算绩效目标表：我联不涉及重点项目资金预算。</w:t>
      </w:r>
    </w:p>
    <w:p w14:paraId="157BD31E">
      <w:pPr>
        <w:numPr>
          <w:ilvl w:val="0"/>
          <w:numId w:val="1"/>
        </w:num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扶贫资金管理使用情况及绩效目标情况说明。</w:t>
      </w:r>
    </w:p>
    <w:p w14:paraId="1334FCA7">
      <w:pPr>
        <w:numPr>
          <w:ilvl w:val="0"/>
          <w:numId w:val="0"/>
        </w:numPr>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lang w:eastAsia="zh-CN"/>
        </w:rPr>
        <w:t>本单位无涉及</w:t>
      </w:r>
    </w:p>
    <w:p w14:paraId="3EB81535">
      <w:pPr>
        <w:numPr>
          <w:ilvl w:val="0"/>
          <w:numId w:val="1"/>
        </w:numPr>
        <w:ind w:left="0" w:leftChars="0" w:firstLine="0" w:firstLineChars="0"/>
        <w:rPr>
          <w:rFonts w:hint="default" w:ascii="Times New Roman" w:hAnsi="Times New Roman" w:eastAsia="仿宋" w:cs="Times New Roman"/>
          <w:sz w:val="32"/>
          <w:szCs w:val="32"/>
        </w:rPr>
      </w:pPr>
      <w:r>
        <w:rPr>
          <w:rFonts w:hint="default" w:ascii="Times New Roman" w:hAnsi="Times New Roman" w:eastAsia="楷体" w:cs="Times New Roman"/>
          <w:sz w:val="32"/>
          <w:szCs w:val="32"/>
        </w:rPr>
        <w:t>政府债务情况。</w:t>
      </w:r>
    </w:p>
    <w:p w14:paraId="100FE9A6">
      <w:pPr>
        <w:numPr>
          <w:ilvl w:val="0"/>
          <w:numId w:val="0"/>
        </w:numPr>
        <w:ind w:leftChars="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本单位无涉及</w:t>
      </w:r>
    </w:p>
    <w:p w14:paraId="62E25854">
      <w:pPr>
        <w:rPr>
          <w:rFonts w:hint="default" w:ascii="Times New Roman" w:hAnsi="Times New Roman" w:eastAsia="仿宋" w:cs="Times New Roman"/>
          <w:sz w:val="32"/>
          <w:szCs w:val="32"/>
        </w:rPr>
      </w:pPr>
    </w:p>
    <w:p w14:paraId="372BA518">
      <w:pPr>
        <w:rPr>
          <w:rFonts w:hint="default" w:ascii="Times New Roman" w:hAnsi="Times New Roman" w:eastAsia="仿宋" w:cs="Times New Roman"/>
          <w:sz w:val="32"/>
          <w:szCs w:val="32"/>
        </w:rPr>
      </w:pPr>
    </w:p>
    <w:p w14:paraId="068DC6B2">
      <w:pPr>
        <w:rPr>
          <w:rFonts w:hint="default" w:ascii="Times New Roman" w:hAnsi="Times New Roman" w:eastAsia="仿宋" w:cs="Times New Roman"/>
          <w:sz w:val="32"/>
          <w:szCs w:val="32"/>
        </w:rPr>
      </w:pPr>
    </w:p>
    <w:p w14:paraId="08354E5B">
      <w:pPr>
        <w:rPr>
          <w:rFonts w:hint="default" w:ascii="Times New Roman" w:hAnsi="Times New Roman" w:eastAsia="仿宋" w:cs="Times New Roman"/>
          <w:sz w:val="32"/>
          <w:szCs w:val="32"/>
        </w:rPr>
      </w:pPr>
    </w:p>
    <w:p w14:paraId="366FE44B">
      <w:pPr>
        <w:rPr>
          <w:rFonts w:hint="default" w:ascii="Times New Roman" w:hAnsi="Times New Roman" w:eastAsia="仿宋" w:cs="Times New Roman"/>
          <w:sz w:val="32"/>
          <w:szCs w:val="32"/>
        </w:rPr>
      </w:pPr>
    </w:p>
    <w:p w14:paraId="1946E60A">
      <w:pPr>
        <w:rPr>
          <w:rFonts w:hint="default" w:ascii="Times New Roman" w:hAnsi="Times New Roman" w:eastAsia="仿宋" w:cs="Times New Roman"/>
          <w:sz w:val="32"/>
          <w:szCs w:val="32"/>
        </w:rPr>
      </w:pPr>
    </w:p>
    <w:p w14:paraId="5168B2D4">
      <w:pPr>
        <w:rPr>
          <w:rFonts w:hint="default" w:ascii="Times New Roman" w:hAnsi="Times New Roman" w:eastAsia="仿宋" w:cs="Times New Roman"/>
          <w:sz w:val="32"/>
          <w:szCs w:val="32"/>
        </w:rPr>
      </w:pPr>
    </w:p>
    <w:p w14:paraId="3F8A1B8E">
      <w:pPr>
        <w:rPr>
          <w:rFonts w:hint="default" w:ascii="Times New Roman" w:hAnsi="Times New Roman" w:eastAsia="仿宋" w:cs="Times New Roman"/>
          <w:sz w:val="32"/>
          <w:szCs w:val="32"/>
        </w:rPr>
      </w:pPr>
    </w:p>
    <w:p w14:paraId="4F51D093">
      <w:pPr>
        <w:rPr>
          <w:rFonts w:hint="default" w:ascii="Times New Roman" w:hAnsi="Times New Roman" w:eastAsia="仿宋" w:cs="Times New Roman"/>
          <w:sz w:val="32"/>
          <w:szCs w:val="32"/>
        </w:rPr>
      </w:pPr>
    </w:p>
    <w:p w14:paraId="09C4B5FA">
      <w:pPr>
        <w:rPr>
          <w:rFonts w:hint="default" w:ascii="Times New Roman" w:hAnsi="Times New Roman" w:eastAsia="仿宋" w:cs="Times New Roman"/>
          <w:sz w:val="32"/>
          <w:szCs w:val="32"/>
        </w:rPr>
      </w:pPr>
    </w:p>
    <w:p w14:paraId="0D46B727">
      <w:pPr>
        <w:rPr>
          <w:rFonts w:hint="default" w:ascii="Times New Roman" w:hAnsi="Times New Roman" w:eastAsia="仿宋" w:cs="Times New Roman"/>
          <w:sz w:val="32"/>
          <w:szCs w:val="32"/>
        </w:rPr>
      </w:pPr>
    </w:p>
    <w:p w14:paraId="40A065C7">
      <w:pPr>
        <w:rPr>
          <w:rFonts w:hint="default" w:ascii="Times New Roman" w:hAnsi="Times New Roman" w:eastAsia="仿宋" w:cs="Times New Roman"/>
          <w:sz w:val="32"/>
          <w:szCs w:val="32"/>
        </w:rPr>
      </w:pPr>
    </w:p>
    <w:p w14:paraId="2236DA52">
      <w:pPr>
        <w:rPr>
          <w:rFonts w:hint="default" w:ascii="Times New Roman" w:hAnsi="Times New Roman" w:eastAsia="仿宋" w:cs="Times New Roman"/>
          <w:sz w:val="32"/>
          <w:szCs w:val="32"/>
        </w:rPr>
      </w:pPr>
    </w:p>
    <w:p w14:paraId="73029CB5">
      <w:pPr>
        <w:rPr>
          <w:rFonts w:hint="default" w:ascii="Times New Roman" w:hAnsi="Times New Roman" w:eastAsia="仿宋" w:cs="Times New Roman"/>
          <w:sz w:val="32"/>
          <w:szCs w:val="32"/>
        </w:rPr>
      </w:pPr>
    </w:p>
    <w:p w14:paraId="5721ADA8">
      <w:pPr>
        <w:rPr>
          <w:rFonts w:hint="default" w:ascii="Times New Roman" w:hAnsi="Times New Roman" w:eastAsia="仿宋" w:cs="Times New Roman"/>
          <w:sz w:val="32"/>
          <w:szCs w:val="32"/>
        </w:rPr>
      </w:pPr>
    </w:p>
    <w:p w14:paraId="4D03C8D7">
      <w:pPr>
        <w:rPr>
          <w:rFonts w:hint="default" w:ascii="Times New Roman" w:hAnsi="Times New Roman" w:eastAsia="仿宋" w:cs="Times New Roman"/>
          <w:sz w:val="32"/>
          <w:szCs w:val="32"/>
        </w:rPr>
      </w:pPr>
    </w:p>
    <w:p w14:paraId="0F387A2D">
      <w:pPr>
        <w:jc w:val="both"/>
        <w:rPr>
          <w:rFonts w:hint="default" w:ascii="Times New Roman" w:hAnsi="Times New Roman" w:eastAsia="方正小标宋简体" w:cs="Times New Roman"/>
          <w:sz w:val="32"/>
          <w:szCs w:val="32"/>
        </w:rPr>
      </w:pPr>
    </w:p>
    <w:p w14:paraId="11987E49">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第四部分</w:t>
      </w:r>
    </w:p>
    <w:p w14:paraId="200E9705">
      <w:pPr>
        <w:jc w:val="center"/>
        <w:rPr>
          <w:rFonts w:hint="default" w:ascii="Times New Roman" w:hAnsi="Times New Roman" w:eastAsia="方正小标宋简体" w:cs="Times New Roman"/>
          <w:sz w:val="32"/>
          <w:szCs w:val="32"/>
        </w:rPr>
      </w:pPr>
    </w:p>
    <w:p w14:paraId="09FD1782">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名词解释</w:t>
      </w:r>
    </w:p>
    <w:p w14:paraId="1FAC846D">
      <w:pPr>
        <w:rPr>
          <w:rFonts w:hint="default" w:ascii="Times New Roman" w:hAnsi="Times New Roman" w:eastAsia="仿宋" w:cs="Times New Roman"/>
          <w:sz w:val="32"/>
          <w:szCs w:val="32"/>
        </w:rPr>
      </w:pPr>
    </w:p>
    <w:p w14:paraId="0D4DBD46">
      <w:pPr>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一、一般公共预算拨款收入：</w:t>
      </w:r>
      <w:r>
        <w:rPr>
          <w:rFonts w:hint="default" w:ascii="Times New Roman" w:hAnsi="Times New Roman" w:eastAsia="仿宋" w:cs="Times New Roman"/>
          <w:sz w:val="32"/>
          <w:szCs w:val="32"/>
        </w:rPr>
        <w:t>指财政部门当年拨付的资金。</w:t>
      </w:r>
    </w:p>
    <w:p w14:paraId="7E08E46D">
      <w:pPr>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二、事业收入：</w:t>
      </w:r>
      <w:r>
        <w:rPr>
          <w:rFonts w:hint="default" w:ascii="Times New Roman" w:hAnsi="Times New Roman" w:eastAsia="仿宋" w:cs="Times New Roman"/>
          <w:sz w:val="32"/>
          <w:szCs w:val="32"/>
        </w:rPr>
        <w:t>指事业单位开展专业业务活动及辅助活动所取得的收入。如：</w:t>
      </w:r>
    </w:p>
    <w:p w14:paraId="2F5BBF0B">
      <w:pPr>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三、事业单位经营收入：</w:t>
      </w:r>
      <w:r>
        <w:rPr>
          <w:rFonts w:hint="default" w:ascii="Times New Roman" w:hAnsi="Times New Roman" w:eastAsia="仿宋" w:cs="Times New Roman"/>
          <w:sz w:val="32"/>
          <w:szCs w:val="32"/>
        </w:rPr>
        <w:t>指事业单位在专业业务活动及其辅助活动之外开展非独立核算经营活动取得的收入。如：</w:t>
      </w:r>
    </w:p>
    <w:p w14:paraId="12DAC7E7">
      <w:pPr>
        <w:spacing w:line="588" w:lineRule="exac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四、机关运行经费：</w:t>
      </w:r>
      <w:r>
        <w:rPr>
          <w:rFonts w:hint="default" w:ascii="Times New Roman" w:hAnsi="Times New Roman" w:eastAsia="仿宋"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28114A5">
      <w:pPr>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五、其他收入：</w:t>
      </w:r>
      <w:r>
        <w:rPr>
          <w:rFonts w:hint="default" w:ascii="Times New Roman" w:hAnsi="Times New Roman" w:eastAsia="仿宋" w:cs="Times New Roman"/>
          <w:sz w:val="32"/>
          <w:szCs w:val="32"/>
        </w:rPr>
        <w:t>指除上述“一般公共预算拨款收入”、“事业收入”、“事业单位经营收入”等以外的收入。主要是按规定动用的售房收入、存款利息收入等。</w:t>
      </w:r>
    </w:p>
    <w:p w14:paraId="5E3CC14C">
      <w:pPr>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六、上年结转：</w:t>
      </w:r>
      <w:r>
        <w:rPr>
          <w:rFonts w:hint="default" w:ascii="Times New Roman" w:hAnsi="Times New Roman" w:eastAsia="仿宋" w:cs="Times New Roman"/>
          <w:sz w:val="32"/>
          <w:szCs w:val="32"/>
        </w:rPr>
        <w:t>指以前年度安排、结转到本年仍按原规定用途继续使用的资金。</w:t>
      </w:r>
    </w:p>
    <w:p w14:paraId="61F965BF">
      <w:pPr>
        <w:spacing w:line="588" w:lineRule="exac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七、重点项目：</w:t>
      </w:r>
      <w:r>
        <w:rPr>
          <w:rFonts w:hint="default" w:ascii="Times New Roman" w:hAnsi="Times New Roman" w:eastAsia="仿宋" w:cs="Times New Roman"/>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401782D9">
      <w:pPr>
        <w:autoSpaceDE w:val="0"/>
        <w:autoSpaceDN w:val="0"/>
        <w:adjustRightInd w:val="0"/>
        <w:jc w:val="left"/>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八、基本支出：</w:t>
      </w:r>
      <w:r>
        <w:rPr>
          <w:rFonts w:hint="default" w:ascii="Times New Roman" w:hAnsi="Times New Roman" w:eastAsia="仿宋" w:cs="Times New Roman"/>
          <w:sz w:val="32"/>
          <w:szCs w:val="32"/>
        </w:rPr>
        <w:t>指为保障机构正常运转、完成日常工作任务而发生的人员支出和公用支出。</w:t>
      </w:r>
    </w:p>
    <w:p w14:paraId="0DFD71E7">
      <w:pPr>
        <w:autoSpaceDE w:val="0"/>
        <w:autoSpaceDN w:val="0"/>
        <w:adjustRightInd w:val="0"/>
        <w:jc w:val="lef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九、项目支出：</w:t>
      </w:r>
      <w:r>
        <w:rPr>
          <w:rFonts w:hint="default" w:ascii="Times New Roman" w:hAnsi="Times New Roman" w:eastAsia="仿宋" w:cs="Times New Roman"/>
          <w:sz w:val="32"/>
          <w:szCs w:val="32"/>
        </w:rPr>
        <w:t>指在基本支出之外为完成特定行政任务或事业发展目标所发生的支出。</w:t>
      </w:r>
    </w:p>
    <w:p w14:paraId="7E3E16A1">
      <w:pPr>
        <w:autoSpaceDE w:val="0"/>
        <w:autoSpaceDN w:val="0"/>
        <w:adjustRightInd w:val="0"/>
        <w:jc w:val="lef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十、事业单位经营支出：</w:t>
      </w:r>
      <w:r>
        <w:rPr>
          <w:rFonts w:hint="default" w:ascii="Times New Roman" w:hAnsi="Times New Roman" w:eastAsia="仿宋" w:cs="Times New Roman"/>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D4A8F">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14:paraId="3CDB45D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63385">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2C8B1AF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0502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CFAEE6"/>
    <w:multiLevelType w:val="singleLevel"/>
    <w:tmpl w:val="4BCFAEE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YmUxNTVlNTM5ZTg5OGIyNDE3YzliZWEzMzhjNTU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3490"/>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53F8"/>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9E0F0F"/>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8E53BB"/>
    <w:rsid w:val="01BD7A4F"/>
    <w:rsid w:val="026822F1"/>
    <w:rsid w:val="02D3157B"/>
    <w:rsid w:val="0360015D"/>
    <w:rsid w:val="038C592B"/>
    <w:rsid w:val="03A52548"/>
    <w:rsid w:val="03C926DB"/>
    <w:rsid w:val="03E47515"/>
    <w:rsid w:val="040D7310"/>
    <w:rsid w:val="041651F4"/>
    <w:rsid w:val="047F2D99"/>
    <w:rsid w:val="04D07031"/>
    <w:rsid w:val="04DB41B7"/>
    <w:rsid w:val="04F840FD"/>
    <w:rsid w:val="05412A0C"/>
    <w:rsid w:val="061F2A86"/>
    <w:rsid w:val="06354E12"/>
    <w:rsid w:val="06782196"/>
    <w:rsid w:val="068648B3"/>
    <w:rsid w:val="068943A3"/>
    <w:rsid w:val="071F6AB6"/>
    <w:rsid w:val="072D2F81"/>
    <w:rsid w:val="075E313A"/>
    <w:rsid w:val="07DE427B"/>
    <w:rsid w:val="07F87185"/>
    <w:rsid w:val="087D5842"/>
    <w:rsid w:val="09000221"/>
    <w:rsid w:val="09137F54"/>
    <w:rsid w:val="09823B51"/>
    <w:rsid w:val="0A1D552E"/>
    <w:rsid w:val="0AE41BA8"/>
    <w:rsid w:val="0AEE2A27"/>
    <w:rsid w:val="0B1A381C"/>
    <w:rsid w:val="0B527DA5"/>
    <w:rsid w:val="0B662F05"/>
    <w:rsid w:val="0B9510F4"/>
    <w:rsid w:val="0BDC6D23"/>
    <w:rsid w:val="0C281F69"/>
    <w:rsid w:val="0CB832EC"/>
    <w:rsid w:val="0CD5712F"/>
    <w:rsid w:val="0D3A63F7"/>
    <w:rsid w:val="0D4264BA"/>
    <w:rsid w:val="0D5F1242"/>
    <w:rsid w:val="0E727BCD"/>
    <w:rsid w:val="0F1D38DB"/>
    <w:rsid w:val="0F4277E5"/>
    <w:rsid w:val="0F507A44"/>
    <w:rsid w:val="0F5B2655"/>
    <w:rsid w:val="0F973068"/>
    <w:rsid w:val="0FBC30F4"/>
    <w:rsid w:val="1070749E"/>
    <w:rsid w:val="10BB5DC9"/>
    <w:rsid w:val="10C304B2"/>
    <w:rsid w:val="11E8678B"/>
    <w:rsid w:val="12015736"/>
    <w:rsid w:val="12244F80"/>
    <w:rsid w:val="122D2087"/>
    <w:rsid w:val="1235718D"/>
    <w:rsid w:val="132316DC"/>
    <w:rsid w:val="13906256"/>
    <w:rsid w:val="13BD568C"/>
    <w:rsid w:val="14D507B4"/>
    <w:rsid w:val="14F52C04"/>
    <w:rsid w:val="154020D1"/>
    <w:rsid w:val="1598015F"/>
    <w:rsid w:val="15F15AC1"/>
    <w:rsid w:val="16B40FC8"/>
    <w:rsid w:val="16DF591A"/>
    <w:rsid w:val="175D4D47"/>
    <w:rsid w:val="17AD5A18"/>
    <w:rsid w:val="17BB4E16"/>
    <w:rsid w:val="17DB07D7"/>
    <w:rsid w:val="187B2FBA"/>
    <w:rsid w:val="18B0756E"/>
    <w:rsid w:val="18E13BCB"/>
    <w:rsid w:val="18E436BB"/>
    <w:rsid w:val="19410B0E"/>
    <w:rsid w:val="194B7296"/>
    <w:rsid w:val="19614D0C"/>
    <w:rsid w:val="19F618F8"/>
    <w:rsid w:val="1A07140F"/>
    <w:rsid w:val="1A50725A"/>
    <w:rsid w:val="1A5A558A"/>
    <w:rsid w:val="1AEB6F83"/>
    <w:rsid w:val="1B5E7755"/>
    <w:rsid w:val="1BC33A5C"/>
    <w:rsid w:val="1C4D1BF2"/>
    <w:rsid w:val="1C896A53"/>
    <w:rsid w:val="1CDC3027"/>
    <w:rsid w:val="1D8A3679"/>
    <w:rsid w:val="1D9751A0"/>
    <w:rsid w:val="1E2A6014"/>
    <w:rsid w:val="1E7E1EBC"/>
    <w:rsid w:val="1E805C34"/>
    <w:rsid w:val="1EC41FC5"/>
    <w:rsid w:val="1EF06916"/>
    <w:rsid w:val="1EF34658"/>
    <w:rsid w:val="1F501AAA"/>
    <w:rsid w:val="1F5327B7"/>
    <w:rsid w:val="1FB621F4"/>
    <w:rsid w:val="1FB931AC"/>
    <w:rsid w:val="1FC3402A"/>
    <w:rsid w:val="1FC63B1B"/>
    <w:rsid w:val="200A1DCB"/>
    <w:rsid w:val="20C0056A"/>
    <w:rsid w:val="211A2370"/>
    <w:rsid w:val="223E3E3C"/>
    <w:rsid w:val="228C4BA7"/>
    <w:rsid w:val="228D6B72"/>
    <w:rsid w:val="22CC242C"/>
    <w:rsid w:val="23152DEF"/>
    <w:rsid w:val="236C49D9"/>
    <w:rsid w:val="23BF0FAD"/>
    <w:rsid w:val="23C465C3"/>
    <w:rsid w:val="23E427C1"/>
    <w:rsid w:val="248F6BD1"/>
    <w:rsid w:val="24ED38F7"/>
    <w:rsid w:val="24F31C53"/>
    <w:rsid w:val="25F24B59"/>
    <w:rsid w:val="26153106"/>
    <w:rsid w:val="26A10094"/>
    <w:rsid w:val="26E8081A"/>
    <w:rsid w:val="26F96584"/>
    <w:rsid w:val="270D229F"/>
    <w:rsid w:val="275859A0"/>
    <w:rsid w:val="27D03788"/>
    <w:rsid w:val="27D8088F"/>
    <w:rsid w:val="28397580"/>
    <w:rsid w:val="28AB1AFF"/>
    <w:rsid w:val="28C60890"/>
    <w:rsid w:val="29826D04"/>
    <w:rsid w:val="2A50295E"/>
    <w:rsid w:val="2A8645D2"/>
    <w:rsid w:val="2AD96DF8"/>
    <w:rsid w:val="2ADE61BC"/>
    <w:rsid w:val="2B02436D"/>
    <w:rsid w:val="2B6E5792"/>
    <w:rsid w:val="2BFB0EC8"/>
    <w:rsid w:val="2C245E51"/>
    <w:rsid w:val="2C872A6D"/>
    <w:rsid w:val="2CFF066C"/>
    <w:rsid w:val="2D4D13D7"/>
    <w:rsid w:val="2D7E5BD3"/>
    <w:rsid w:val="2D8A6187"/>
    <w:rsid w:val="2E3C1B78"/>
    <w:rsid w:val="2E4E5407"/>
    <w:rsid w:val="2EBA0CEE"/>
    <w:rsid w:val="2EDA6C9B"/>
    <w:rsid w:val="2EE978B6"/>
    <w:rsid w:val="2EF97A69"/>
    <w:rsid w:val="2F261EE0"/>
    <w:rsid w:val="2F9B467C"/>
    <w:rsid w:val="2FF03612"/>
    <w:rsid w:val="30004E27"/>
    <w:rsid w:val="30161F54"/>
    <w:rsid w:val="305E56A9"/>
    <w:rsid w:val="30B37377"/>
    <w:rsid w:val="30B874AF"/>
    <w:rsid w:val="31A764E9"/>
    <w:rsid w:val="31B41A25"/>
    <w:rsid w:val="323A41FF"/>
    <w:rsid w:val="323D1A1A"/>
    <w:rsid w:val="335C2EC6"/>
    <w:rsid w:val="336254B1"/>
    <w:rsid w:val="33C65A3F"/>
    <w:rsid w:val="340D7B12"/>
    <w:rsid w:val="341C1BC1"/>
    <w:rsid w:val="345E211C"/>
    <w:rsid w:val="34C9718B"/>
    <w:rsid w:val="34FD36E3"/>
    <w:rsid w:val="3511718E"/>
    <w:rsid w:val="352E7D40"/>
    <w:rsid w:val="357F059C"/>
    <w:rsid w:val="35867B7C"/>
    <w:rsid w:val="35ED7667"/>
    <w:rsid w:val="36196DC0"/>
    <w:rsid w:val="365928A3"/>
    <w:rsid w:val="366652B8"/>
    <w:rsid w:val="367125DA"/>
    <w:rsid w:val="36DE12F2"/>
    <w:rsid w:val="37F1031F"/>
    <w:rsid w:val="380950E6"/>
    <w:rsid w:val="380F5FD2"/>
    <w:rsid w:val="38211DDE"/>
    <w:rsid w:val="385B0E4C"/>
    <w:rsid w:val="386C3059"/>
    <w:rsid w:val="390A2872"/>
    <w:rsid w:val="39406294"/>
    <w:rsid w:val="395C1320"/>
    <w:rsid w:val="39763A64"/>
    <w:rsid w:val="397D4DF2"/>
    <w:rsid w:val="39842E85"/>
    <w:rsid w:val="3A064DE8"/>
    <w:rsid w:val="3A3E0A25"/>
    <w:rsid w:val="3B1B48C3"/>
    <w:rsid w:val="3C447E49"/>
    <w:rsid w:val="3C4E2A76"/>
    <w:rsid w:val="3D123581"/>
    <w:rsid w:val="3D762284"/>
    <w:rsid w:val="3E060FF7"/>
    <w:rsid w:val="3E0B43A5"/>
    <w:rsid w:val="3E712EBD"/>
    <w:rsid w:val="3EA846BF"/>
    <w:rsid w:val="3EB27E19"/>
    <w:rsid w:val="3F1D3E52"/>
    <w:rsid w:val="3F2A5A1C"/>
    <w:rsid w:val="3F760C61"/>
    <w:rsid w:val="3F9C25C0"/>
    <w:rsid w:val="3FC76DC7"/>
    <w:rsid w:val="3FD06543"/>
    <w:rsid w:val="3FDE03E3"/>
    <w:rsid w:val="405E3BCF"/>
    <w:rsid w:val="41436921"/>
    <w:rsid w:val="41540B2E"/>
    <w:rsid w:val="41D028AB"/>
    <w:rsid w:val="42254279"/>
    <w:rsid w:val="42291FBB"/>
    <w:rsid w:val="436B215F"/>
    <w:rsid w:val="4379487C"/>
    <w:rsid w:val="437A7D72"/>
    <w:rsid w:val="43DF5027"/>
    <w:rsid w:val="43FD12B6"/>
    <w:rsid w:val="44316F05"/>
    <w:rsid w:val="44337161"/>
    <w:rsid w:val="4475773A"/>
    <w:rsid w:val="44867251"/>
    <w:rsid w:val="45930902"/>
    <w:rsid w:val="459C4852"/>
    <w:rsid w:val="4678706D"/>
    <w:rsid w:val="4698770F"/>
    <w:rsid w:val="469F284C"/>
    <w:rsid w:val="46D324F5"/>
    <w:rsid w:val="47134FE8"/>
    <w:rsid w:val="47163D7F"/>
    <w:rsid w:val="4719198B"/>
    <w:rsid w:val="474D4056"/>
    <w:rsid w:val="474F4272"/>
    <w:rsid w:val="47D93B3C"/>
    <w:rsid w:val="47FE17F4"/>
    <w:rsid w:val="49153299"/>
    <w:rsid w:val="49816239"/>
    <w:rsid w:val="49920446"/>
    <w:rsid w:val="49935F6C"/>
    <w:rsid w:val="4A5751EC"/>
    <w:rsid w:val="4A6F2535"/>
    <w:rsid w:val="4A961F83"/>
    <w:rsid w:val="4AF84C20"/>
    <w:rsid w:val="4B2A0669"/>
    <w:rsid w:val="4B321EE0"/>
    <w:rsid w:val="4BF867B6"/>
    <w:rsid w:val="4C324162"/>
    <w:rsid w:val="4C373F39"/>
    <w:rsid w:val="4D1A0E7E"/>
    <w:rsid w:val="4D5B06D8"/>
    <w:rsid w:val="4E955004"/>
    <w:rsid w:val="4EA84268"/>
    <w:rsid w:val="4EB47AF7"/>
    <w:rsid w:val="4EE96D5A"/>
    <w:rsid w:val="501A1195"/>
    <w:rsid w:val="510065DD"/>
    <w:rsid w:val="51142088"/>
    <w:rsid w:val="51281690"/>
    <w:rsid w:val="51C67202"/>
    <w:rsid w:val="52463F2F"/>
    <w:rsid w:val="52A03BD4"/>
    <w:rsid w:val="5334431C"/>
    <w:rsid w:val="533C1930"/>
    <w:rsid w:val="53560736"/>
    <w:rsid w:val="53BF0089"/>
    <w:rsid w:val="53CA4C80"/>
    <w:rsid w:val="53EC2E48"/>
    <w:rsid w:val="544D38E7"/>
    <w:rsid w:val="546724CF"/>
    <w:rsid w:val="54D2203E"/>
    <w:rsid w:val="54DE4E87"/>
    <w:rsid w:val="54E02EBF"/>
    <w:rsid w:val="55175CA3"/>
    <w:rsid w:val="55186780"/>
    <w:rsid w:val="552F123F"/>
    <w:rsid w:val="552F4099"/>
    <w:rsid w:val="556829A3"/>
    <w:rsid w:val="55714D44"/>
    <w:rsid w:val="55A03EEB"/>
    <w:rsid w:val="567F1D52"/>
    <w:rsid w:val="568F468B"/>
    <w:rsid w:val="56955A19"/>
    <w:rsid w:val="56A143BE"/>
    <w:rsid w:val="56F31DE0"/>
    <w:rsid w:val="572D3ADE"/>
    <w:rsid w:val="574014E1"/>
    <w:rsid w:val="574A3DA6"/>
    <w:rsid w:val="575E22AF"/>
    <w:rsid w:val="57926441"/>
    <w:rsid w:val="580A4AA1"/>
    <w:rsid w:val="581D7A74"/>
    <w:rsid w:val="5862192B"/>
    <w:rsid w:val="58BF28DA"/>
    <w:rsid w:val="58F9403E"/>
    <w:rsid w:val="58FD3402"/>
    <w:rsid w:val="597E09E7"/>
    <w:rsid w:val="59BA3C87"/>
    <w:rsid w:val="5A963B0E"/>
    <w:rsid w:val="5AD4622E"/>
    <w:rsid w:val="5B3C2907"/>
    <w:rsid w:val="5B3F532B"/>
    <w:rsid w:val="5B484E08"/>
    <w:rsid w:val="5B81656C"/>
    <w:rsid w:val="5CAC13C7"/>
    <w:rsid w:val="5D484162"/>
    <w:rsid w:val="5D565C5F"/>
    <w:rsid w:val="5DBC7D30"/>
    <w:rsid w:val="5DCA6C88"/>
    <w:rsid w:val="5E005E6E"/>
    <w:rsid w:val="5EA21F16"/>
    <w:rsid w:val="5ECA3FE0"/>
    <w:rsid w:val="5F105C3D"/>
    <w:rsid w:val="5F2B6F1B"/>
    <w:rsid w:val="600D03CE"/>
    <w:rsid w:val="601C4AB5"/>
    <w:rsid w:val="60341DFF"/>
    <w:rsid w:val="60695F4D"/>
    <w:rsid w:val="60A76A75"/>
    <w:rsid w:val="60CD636C"/>
    <w:rsid w:val="60D61108"/>
    <w:rsid w:val="60E922D1"/>
    <w:rsid w:val="6118702B"/>
    <w:rsid w:val="6151078F"/>
    <w:rsid w:val="61BA6334"/>
    <w:rsid w:val="61C13B66"/>
    <w:rsid w:val="62483940"/>
    <w:rsid w:val="62A82630"/>
    <w:rsid w:val="62AC2121"/>
    <w:rsid w:val="63B15515"/>
    <w:rsid w:val="63CB65D6"/>
    <w:rsid w:val="642B52C7"/>
    <w:rsid w:val="64410F8F"/>
    <w:rsid w:val="646A2293"/>
    <w:rsid w:val="64DD4813"/>
    <w:rsid w:val="658F6732"/>
    <w:rsid w:val="65D26342"/>
    <w:rsid w:val="65F71905"/>
    <w:rsid w:val="660A3036"/>
    <w:rsid w:val="66285F62"/>
    <w:rsid w:val="66EF4CD2"/>
    <w:rsid w:val="675D60DF"/>
    <w:rsid w:val="676034DA"/>
    <w:rsid w:val="67694A84"/>
    <w:rsid w:val="676A25AA"/>
    <w:rsid w:val="6787315C"/>
    <w:rsid w:val="67AE693B"/>
    <w:rsid w:val="67E10ABE"/>
    <w:rsid w:val="67E934CF"/>
    <w:rsid w:val="682D5AB2"/>
    <w:rsid w:val="68617509"/>
    <w:rsid w:val="686C1F83"/>
    <w:rsid w:val="688F381B"/>
    <w:rsid w:val="68B00491"/>
    <w:rsid w:val="68B03FED"/>
    <w:rsid w:val="68F93BE6"/>
    <w:rsid w:val="69124CA8"/>
    <w:rsid w:val="69232A11"/>
    <w:rsid w:val="69690D6B"/>
    <w:rsid w:val="69CC4E56"/>
    <w:rsid w:val="69DD52B6"/>
    <w:rsid w:val="6A1D6DB8"/>
    <w:rsid w:val="6A4626EF"/>
    <w:rsid w:val="6AB62BDD"/>
    <w:rsid w:val="6B4750DC"/>
    <w:rsid w:val="6B685053"/>
    <w:rsid w:val="6B80414A"/>
    <w:rsid w:val="6BBC1BC6"/>
    <w:rsid w:val="6BDB75D3"/>
    <w:rsid w:val="6BDF5315"/>
    <w:rsid w:val="6C57134F"/>
    <w:rsid w:val="6C951E77"/>
    <w:rsid w:val="6CC53401"/>
    <w:rsid w:val="6E470F4F"/>
    <w:rsid w:val="6E6F6DC7"/>
    <w:rsid w:val="6E851A78"/>
    <w:rsid w:val="6F364C2C"/>
    <w:rsid w:val="6F655B31"/>
    <w:rsid w:val="70067686"/>
    <w:rsid w:val="700A66D9"/>
    <w:rsid w:val="70CE5958"/>
    <w:rsid w:val="713F7CF6"/>
    <w:rsid w:val="71DA497B"/>
    <w:rsid w:val="720F7FD6"/>
    <w:rsid w:val="72FD0776"/>
    <w:rsid w:val="737250F9"/>
    <w:rsid w:val="73833EA2"/>
    <w:rsid w:val="738D7F04"/>
    <w:rsid w:val="73D04495"/>
    <w:rsid w:val="73EB05CF"/>
    <w:rsid w:val="740873D3"/>
    <w:rsid w:val="742E508B"/>
    <w:rsid w:val="74E67714"/>
    <w:rsid w:val="755723C0"/>
    <w:rsid w:val="756D1A93"/>
    <w:rsid w:val="75AF5D58"/>
    <w:rsid w:val="75B50E95"/>
    <w:rsid w:val="75D02172"/>
    <w:rsid w:val="76004806"/>
    <w:rsid w:val="766A6123"/>
    <w:rsid w:val="766F7295"/>
    <w:rsid w:val="76880357"/>
    <w:rsid w:val="769564EE"/>
    <w:rsid w:val="76E25CB9"/>
    <w:rsid w:val="76F81981"/>
    <w:rsid w:val="77666360"/>
    <w:rsid w:val="77843214"/>
    <w:rsid w:val="778862A7"/>
    <w:rsid w:val="77B75398"/>
    <w:rsid w:val="77BF5FFA"/>
    <w:rsid w:val="77DA1086"/>
    <w:rsid w:val="782F4F2E"/>
    <w:rsid w:val="789B3D8E"/>
    <w:rsid w:val="78C55892"/>
    <w:rsid w:val="79E41D48"/>
    <w:rsid w:val="79E9735F"/>
    <w:rsid w:val="7A1268B5"/>
    <w:rsid w:val="7A1A39BC"/>
    <w:rsid w:val="7AA25685"/>
    <w:rsid w:val="7AFB559C"/>
    <w:rsid w:val="7C345209"/>
    <w:rsid w:val="7CA37C99"/>
    <w:rsid w:val="7CB974BC"/>
    <w:rsid w:val="7CCD740C"/>
    <w:rsid w:val="7CF92F17"/>
    <w:rsid w:val="7D821FA4"/>
    <w:rsid w:val="7DBA1888"/>
    <w:rsid w:val="7E1D1CCD"/>
    <w:rsid w:val="7E745D91"/>
    <w:rsid w:val="7EB6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3168</Words>
  <Characters>3446</Characters>
  <Lines>27</Lines>
  <Paragraphs>7</Paragraphs>
  <TotalTime>105</TotalTime>
  <ScaleCrop>false</ScaleCrop>
  <LinksUpToDate>false</LinksUpToDate>
  <CharactersWithSpaces>3546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2024-02-01T09:46:00Z</cp:lastPrinted>
  <dcterms:modified xsi:type="dcterms:W3CDTF">2025-01-22T09:07:19Z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C9B7E022DE504E20AE1C955A3F3FE62B_13</vt:lpwstr>
  </property>
  <property fmtid="{D5CDD505-2E9C-101B-9397-08002B2CF9AE}" pid="4" name="KSOTemplateDocerSaveRecord">
    <vt:lpwstr>eyJoZGlkIjoiMDU2YTRjYWFlMDYxZjcyNzE3ZTVjMzFmNzA5YWY0MWMifQ==</vt:lpwstr>
  </property>
</Properties>
</file>