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中共班戈县委员会宣传部2025</w:t>
      </w:r>
      <w:r>
        <w:rPr>
          <w:rFonts w:hint="eastAsia" w:ascii="方正小标宋简体" w:hAnsi="仿宋" w:eastAsia="方正小标宋简体"/>
          <w:sz w:val="44"/>
          <w:szCs w:val="44"/>
        </w:rPr>
        <w:t>年度</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21</w:t>
      </w:r>
      <w:r>
        <w:rPr>
          <w:rFonts w:hint="eastAsia" w:ascii="仿宋" w:hAnsi="仿宋" w:eastAsia="仿宋"/>
          <w:sz w:val="32"/>
          <w:szCs w:val="32"/>
        </w:rPr>
        <w:t xml:space="preserve">  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hint="eastAsia" w:ascii="方正小标宋简体" w:hAnsi="仿宋" w:eastAsia="方正小标宋简体"/>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宣传部门</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宣传部</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宣传</w:t>
      </w:r>
      <w:r>
        <w:rPr>
          <w:rFonts w:hint="eastAsia" w:ascii="方正小标宋简体" w:hAnsi="仿宋" w:eastAsia="方正小标宋简体"/>
          <w:sz w:val="32"/>
          <w:szCs w:val="32"/>
        </w:rPr>
        <w:t>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宣传</w:t>
      </w:r>
      <w:r>
        <w:rPr>
          <w:rFonts w:hint="eastAsia" w:ascii="方正小标宋简体" w:hAnsi="仿宋" w:eastAsia="方正小标宋简体"/>
          <w:sz w:val="32"/>
          <w:szCs w:val="32"/>
        </w:rPr>
        <w:t>部门（单位）预算数据分析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宣传部</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宣传部</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宣传部</w:t>
      </w:r>
      <w:r>
        <w:rPr>
          <w:rFonts w:hint="eastAsia" w:ascii="黑体" w:hAnsi="黑体" w:eastAsia="黑体"/>
          <w:sz w:val="32"/>
          <w:szCs w:val="32"/>
        </w:rPr>
        <w:t>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黑体" w:hAnsi="黑体" w:eastAsia="黑体"/>
          <w:sz w:val="32"/>
          <w:szCs w:val="32"/>
          <w:lang w:eastAsia="zh-CN"/>
        </w:rPr>
        <w:t>宣传部</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重大事项决策主要包括：</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（一）贯彻实施党和国家路线、方针、政策、重大决策及宣传部门的重大决定的措施和办法；</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（二）党的建设、新时代文明实践等重要工作，意识形态领域重大问题；</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（三）宣传系统中长期发展规划、年度工作计划等；</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（四）以宣传部门名义作出的重要决定，以宣传部门名义发布的重要文件、上报的重要材料；</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（五）以宣传部门名义召开的大型工作会议、大型活动的有关问题；</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（六）宣传工作重要规章制度的制定、修订和废止；</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（七）年度预算方案制定及调整；</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（八）本部门重要资产的购置和处置；</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（九）全县舆情以及突发性新闻事件的应对措施；</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（十）其他应经集体研究决定的重要事项。</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 xml:space="preserve">（十一）根据工作需要，适时提出部门内设置机构和人员编制。部门人员调整后，及时明确职责分工； </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（十二）研究确定业务工作内的先进集体、先进个人的申报、推荐等考核奖惩事宜；</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（十三）研究决定部门科级（含副科级）领导职务和非领导职务的推荐人选；</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（十四）其他应经集体研究决定的重要人事任免事项。</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（十五）各类宣传口子重大专项建设项目的建设规划和资金安排；</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（十六）国内国（境）外文化交流等重要合作项目申报计划；</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（十七）货物、服务采购计划及相关资料审核；</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（十八）各类宣传广告、装饰及修缮工程项目；</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（十九）其他应经集体研究决定的重大项目安排事项。</w:t>
      </w:r>
    </w:p>
    <w:p>
      <w:pPr>
        <w:widowControl/>
        <w:shd w:val="clear" w:color="auto" w:fill="FFFFFF"/>
        <w:spacing w:after="92" w:line="578" w:lineRule="exact"/>
        <w:ind w:firstLine="640" w:firstLineChars="200"/>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（二十）单项金额5000元以下资金的支出，由经办人按程序报常委部长审批或由常委部长指定在家主持工作的副部长审批；</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（二十一）单项金额5000元以上至  3万元以下的支出，由经办人按程序报部务会议，由部务会研究审批；</w:t>
      </w:r>
    </w:p>
    <w:p>
      <w:pPr>
        <w:widowControl/>
        <w:shd w:val="clear" w:color="auto" w:fill="FFFFFF"/>
        <w:spacing w:after="92" w:line="578" w:lineRule="exact"/>
        <w:ind w:firstLine="640" w:firstLineChars="200"/>
        <w:jc w:val="left"/>
        <w:textAlignment w:val="baseline"/>
        <w:rPr>
          <w:rFonts w:ascii="方正仿宋简体" w:hAnsi="宋体" w:eastAsia="方正仿宋简体" w:cs="宋体"/>
          <w:color w:val="333333"/>
          <w:kern w:val="0"/>
          <w:sz w:val="32"/>
        </w:rPr>
      </w:pPr>
      <w:r>
        <w:rPr>
          <w:rFonts w:hint="eastAsia" w:ascii="方正仿宋简体" w:hAnsi="宋体" w:eastAsia="方正仿宋简体" w:cs="宋体"/>
          <w:color w:val="333333"/>
          <w:kern w:val="0"/>
          <w:sz w:val="32"/>
        </w:rPr>
        <w:t>（二十二）单项金额在3万元以上的（含3万元），由部务会提交县委常委或政府采购领导小组审批；</w:t>
      </w:r>
    </w:p>
    <w:p>
      <w:pPr>
        <w:ind w:firstLine="640" w:firstLineChars="200"/>
        <w:rPr>
          <w:rFonts w:ascii="黑体" w:hAnsi="黑体" w:eastAsia="黑体"/>
          <w:sz w:val="32"/>
          <w:szCs w:val="32"/>
        </w:rPr>
      </w:pPr>
      <w:r>
        <w:rPr>
          <w:rFonts w:hint="eastAsia" w:ascii="方正仿宋简体" w:hAnsi="宋体" w:eastAsia="方正仿宋简体" w:cs="宋体"/>
          <w:color w:val="333333"/>
          <w:kern w:val="0"/>
          <w:sz w:val="32"/>
        </w:rPr>
        <w:t>（二十三）其他应经集体研究决定的大额度资金使用事项。</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个处。</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宣传部2025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w:t>
      </w:r>
      <w:r>
        <w:rPr>
          <w:rFonts w:hint="eastAsia" w:ascii="方正小标宋简体" w:hAnsi="仿宋" w:eastAsia="方正小标宋简体"/>
          <w:sz w:val="32"/>
          <w:szCs w:val="32"/>
          <w:lang w:eastAsia="zh-CN"/>
        </w:rPr>
        <w:t>宣传部</w:t>
      </w:r>
      <w:r>
        <w:rPr>
          <w:rFonts w:hint="eastAsia" w:ascii="方正小标宋简体" w:hAnsi="仿宋" w:eastAsia="方正小标宋简体"/>
          <w:sz w:val="32"/>
          <w:szCs w:val="32"/>
        </w:rPr>
        <w:t>门预算数据分析</w:t>
      </w:r>
    </w:p>
    <w:p>
      <w:pPr>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2025年宣传部</w:t>
      </w: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959.34</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2025年宣传部</w:t>
      </w: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959.34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2024年</w:t>
      </w:r>
      <w:r>
        <w:rPr>
          <w:rFonts w:hint="eastAsia" w:ascii="仿宋" w:hAnsi="仿宋" w:eastAsia="仿宋"/>
          <w:sz w:val="32"/>
          <w:szCs w:val="32"/>
        </w:rPr>
        <w:t>收入预算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698.03</w:t>
      </w:r>
      <w:r>
        <w:rPr>
          <w:rFonts w:hint="eastAsia" w:ascii="仿宋" w:hAnsi="仿宋" w:eastAsia="仿宋"/>
          <w:sz w:val="32"/>
          <w:szCs w:val="32"/>
          <w:u w:val="single"/>
        </w:rPr>
        <w:t xml:space="preserve"> </w:t>
      </w:r>
      <w:r>
        <w:rPr>
          <w:rFonts w:hint="eastAsia" w:ascii="仿宋" w:hAnsi="仿宋" w:eastAsia="仿宋"/>
          <w:sz w:val="32"/>
          <w:szCs w:val="32"/>
        </w:rPr>
        <w:t xml:space="preserve">万元，同比增加 </w:t>
      </w:r>
      <w:r>
        <w:rPr>
          <w:rFonts w:hint="eastAsia" w:ascii="仿宋" w:hAnsi="仿宋" w:eastAsia="仿宋"/>
          <w:sz w:val="32"/>
          <w:szCs w:val="32"/>
          <w:lang w:val="en-US" w:eastAsia="zh-CN"/>
        </w:rPr>
        <w:t>261.31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公用费用增多，项目增加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0.95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806.04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84.02</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2025年宣传部</w:t>
      </w: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959.34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2024年</w:t>
      </w:r>
      <w:r>
        <w:rPr>
          <w:rFonts w:hint="eastAsia" w:ascii="仿宋" w:hAnsi="仿宋" w:eastAsia="仿宋"/>
          <w:sz w:val="32"/>
          <w:szCs w:val="32"/>
        </w:rPr>
        <w:t>收入预算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698.03</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公用费用增多，项目增加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634.46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66.14</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324.88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33.86</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2025年宣传部</w:t>
      </w: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949.89</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251.86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公用费用增多，项目增加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949.89</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9.05</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959.34</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65.86</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39.59</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47.85</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2025年宣传部</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959.34</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年执行数减少（或</w:t>
      </w:r>
      <w:r>
        <w:rPr>
          <w:rFonts w:ascii="仿宋" w:hAnsi="仿宋" w:eastAsia="仿宋"/>
          <w:sz w:val="32"/>
          <w:szCs w:val="32"/>
        </w:rPr>
        <w:t>增加</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261.31</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公用费用增多，项目增加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2025年宣传部</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%；教育支出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477.92</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68.98</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0.15</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人员减少</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w:t>
      </w:r>
      <w:r>
        <w:rPr>
          <w:rFonts w:hint="eastAsia" w:ascii="仿宋" w:hAnsi="仿宋" w:eastAsia="仿宋"/>
          <w:sz w:val="32"/>
          <w:szCs w:val="32"/>
          <w:lang w:eastAsia="zh-CN"/>
        </w:rPr>
        <w:t>宣传</w:t>
      </w:r>
      <w:r>
        <w:rPr>
          <w:rFonts w:hint="eastAsia" w:ascii="仿宋" w:hAnsi="仿宋" w:eastAsia="仿宋"/>
          <w:sz w:val="32"/>
          <w:szCs w:val="32"/>
        </w:rPr>
        <w:t>事务（款）预算数为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802.8</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393.86</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49.06</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w:t>
      </w:r>
      <w:r>
        <w:rPr>
          <w:rFonts w:hint="eastAsia" w:ascii="仿宋" w:hAnsi="仿宋" w:eastAsia="仿宋"/>
          <w:sz w:val="32"/>
          <w:szCs w:val="32"/>
          <w:lang w:eastAsia="zh-CN"/>
        </w:rPr>
        <w:t>项目增多。</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634.46</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582.94</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51.52</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10.5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0.4</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w:t>
      </w:r>
      <w:r>
        <w:rPr>
          <w:rFonts w:hint="eastAsia" w:ascii="仿宋" w:hAnsi="仿宋" w:eastAsia="仿宋"/>
          <w:sz w:val="32"/>
          <w:szCs w:val="32"/>
          <w:u w:val="single"/>
          <w:lang w:val="en-US" w:eastAsia="zh-CN"/>
        </w:rPr>
        <w:t>0.47</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4.31</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公车运行减少</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r>
        <w:rPr>
          <w:rFonts w:hint="eastAsia" w:ascii="仿宋" w:hAnsi="仿宋" w:eastAsia="仿宋"/>
          <w:sz w:val="32"/>
          <w:szCs w:val="32"/>
        </w:rPr>
        <w:t>我</w:t>
      </w:r>
      <w:r>
        <w:rPr>
          <w:rFonts w:hint="eastAsia" w:ascii="仿宋" w:hAnsi="仿宋" w:eastAsia="仿宋"/>
          <w:sz w:val="32"/>
          <w:szCs w:val="32"/>
          <w:lang w:eastAsia="zh-CN"/>
        </w:rPr>
        <w:t>本</w:t>
      </w:r>
      <w:r>
        <w:rPr>
          <w:rFonts w:hint="eastAsia" w:ascii="仿宋" w:hAnsi="仿宋" w:eastAsia="仿宋"/>
          <w:sz w:val="32"/>
          <w:szCs w:val="32"/>
        </w:rPr>
        <w:t>部</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年部门（单位）机关……等</w:t>
      </w:r>
      <w:r>
        <w:rPr>
          <w:rFonts w:hint="eastAsia" w:ascii="仿宋" w:hAnsi="仿宋" w:eastAsia="仿宋"/>
          <w:sz w:val="32"/>
          <w:szCs w:val="32"/>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324.88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282.88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w:t>
      </w:r>
      <w:r>
        <w:rPr>
          <w:rFonts w:hint="eastAsia" w:ascii="仿宋" w:hAnsi="仿宋" w:eastAsia="仿宋"/>
          <w:sz w:val="32"/>
          <w:szCs w:val="32"/>
          <w:lang w:eastAsia="zh-CN"/>
        </w:rPr>
        <w:t>新时代文明实践暨乡村振兴那曲奋进活动经费，基层宣讲员补助经费等</w:t>
      </w:r>
      <w:r>
        <w:rPr>
          <w:rFonts w:hint="eastAsia" w:ascii="仿宋" w:hAnsi="仿宋" w:eastAsia="仿宋"/>
          <w:sz w:val="32"/>
          <w:szCs w:val="32"/>
        </w:rPr>
        <w:t>实行绩效目标管理</w:t>
      </w:r>
      <w:r>
        <w:rPr>
          <w:rFonts w:hint="eastAsia" w:ascii="仿宋" w:hAnsi="仿宋" w:eastAsia="仿宋"/>
          <w:sz w:val="32"/>
          <w:szCs w:val="32"/>
          <w:lang w:val="en-US" w:eastAsia="zh-CN"/>
        </w:rPr>
        <w:t>13个项目</w:t>
      </w:r>
      <w:r>
        <w:rPr>
          <w:rFonts w:hint="eastAsia" w:ascii="仿宋" w:hAnsi="仿宋" w:eastAsia="仿宋"/>
          <w:sz w:val="32"/>
          <w:szCs w:val="32"/>
        </w:rPr>
        <w:t>，分别是</w:t>
      </w:r>
      <w:r>
        <w:rPr>
          <w:rFonts w:hint="eastAsia" w:ascii="仿宋" w:hAnsi="仿宋" w:eastAsia="仿宋"/>
          <w:sz w:val="32"/>
          <w:szCs w:val="32"/>
          <w:lang w:eastAsia="zh-CN"/>
        </w:rPr>
        <w:t>：</w:t>
      </w:r>
      <w:r>
        <w:rPr>
          <w:rFonts w:hint="eastAsia" w:ascii="仿宋" w:hAnsi="仿宋" w:eastAsia="仿宋"/>
          <w:sz w:val="32"/>
          <w:szCs w:val="32"/>
        </w:rPr>
        <w:t>扫黄打非工作经费，资金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新时代文明实践</w:t>
      </w:r>
      <w:r>
        <w:rPr>
          <w:rFonts w:hint="eastAsia" w:ascii="仿宋" w:hAnsi="仿宋" w:eastAsia="仿宋"/>
          <w:sz w:val="32"/>
          <w:szCs w:val="32"/>
          <w:lang w:eastAsia="zh-CN"/>
        </w:rPr>
        <w:t>暨乡村振兴那曲奋进</w:t>
      </w:r>
      <w:r>
        <w:rPr>
          <w:rFonts w:hint="eastAsia" w:ascii="仿宋" w:hAnsi="仿宋" w:eastAsia="仿宋"/>
          <w:sz w:val="32"/>
          <w:szCs w:val="32"/>
        </w:rPr>
        <w:t>经费，资金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61.56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经费，新时代文明实践工作资金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21.66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经费，广播电视节目无线覆盖运行维护资金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43.69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13.45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有线数字电视节目服务经费，资金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1.69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0.52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经费，基层宣讲员补助资金</w:t>
      </w:r>
      <w:r>
        <w:rPr>
          <w:rFonts w:hint="eastAsia" w:ascii="仿宋_GB2312" w:eastAsia="仿宋_GB2312" w:cs="仿宋_GB2312" w:hAnsiTheme="minorHAnsi"/>
          <w:kern w:val="0"/>
          <w:sz w:val="32"/>
          <w:szCs w:val="32"/>
          <w:u w:val="single"/>
          <w:lang w:val="en-US" w:eastAsia="zh-CN"/>
        </w:rPr>
        <w:t>27</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8.31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经费，宣传氛围营造资金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下乡活动经费，资金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网络安全信息化经费，资金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18.5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5.69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经费，网络评论监管资金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0.31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经费，基层宣讲员补助资金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0.31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经费，新华书店资金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0.62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经费，理论中心组资金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0.62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w:t>
      </w:r>
      <w:r>
        <w:rPr>
          <w:rFonts w:hint="eastAsia" w:ascii="仿宋" w:hAnsi="仿宋" w:eastAsia="仿宋"/>
          <w:sz w:val="32"/>
          <w:szCs w:val="32"/>
          <w:lang w:eastAsia="zh-CN"/>
        </w:rPr>
        <w:t>无</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eastAsiaTheme="minorEastAsia"/>
          <w:lang w:eastAsia="zh-CN"/>
        </w:rPr>
        <w:drawing>
          <wp:inline distT="0" distB="0" distL="114300" distR="114300">
            <wp:extent cx="5266690" cy="7022465"/>
            <wp:effectExtent l="0" t="0" r="10160" b="6985"/>
            <wp:docPr id="1" name="图片 1" descr="43091472a4b0c3b21887afe53eda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091472a4b0c3b21887afe53eda772"/>
                    <pic:cNvPicPr>
                      <a:picLocks noChangeAspect="1"/>
                    </pic:cNvPicPr>
                  </pic:nvPicPr>
                  <pic:blipFill>
                    <a:blip r:embed="rId7"/>
                    <a:stretch>
                      <a:fillRect/>
                    </a:stretch>
                  </pic:blipFill>
                  <pic:spPr>
                    <a:xfrm>
                      <a:off x="0" y="0"/>
                      <a:ext cx="5266690" cy="7022465"/>
                    </a:xfrm>
                    <a:prstGeom prst="rect">
                      <a:avLst/>
                    </a:prstGeom>
                  </pic:spPr>
                </pic:pic>
              </a:graphicData>
            </a:graphic>
          </wp:inline>
        </w:drawing>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eastAsiaTheme="minorEastAsia"/>
          <w:lang w:eastAsia="zh-CN"/>
        </w:rPr>
        <w:drawing>
          <wp:inline distT="0" distB="0" distL="114300" distR="114300">
            <wp:extent cx="5266690" cy="7022465"/>
            <wp:effectExtent l="0" t="0" r="10160" b="6985"/>
            <wp:docPr id="2" name="图片 2" descr="f456691ed6b30f1b92fe66d21827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56691ed6b30f1b92fe66d21827086"/>
                    <pic:cNvPicPr>
                      <a:picLocks noChangeAspect="1"/>
                    </pic:cNvPicPr>
                  </pic:nvPicPr>
                  <pic:blipFill>
                    <a:blip r:embed="rId8"/>
                    <a:stretch>
                      <a:fillRect/>
                    </a:stretch>
                  </pic:blipFill>
                  <pic:spPr>
                    <a:xfrm>
                      <a:off x="0" y="0"/>
                      <a:ext cx="5266690" cy="7022465"/>
                    </a:xfrm>
                    <a:prstGeom prst="rect">
                      <a:avLst/>
                    </a:prstGeom>
                  </pic:spPr>
                </pic:pic>
              </a:graphicData>
            </a:graphic>
          </wp:inline>
        </w:drawing>
      </w:r>
      <w:bookmarkStart w:id="0" w:name="_GoBack"/>
      <w:bookmarkEnd w:id="0"/>
    </w:p>
    <w:p>
      <w:pPr>
        <w:rPr>
          <w:rFonts w:ascii="仿宋" w:hAnsi="仿宋" w:eastAsia="仿宋"/>
          <w:sz w:val="32"/>
          <w:szCs w:val="32"/>
        </w:rPr>
      </w:pPr>
    </w:p>
    <w:p>
      <w:pPr>
        <w:jc w:val="both"/>
        <w:rPr>
          <w:rFonts w:ascii="仿宋_GB2312" w:eastAsia="仿宋_GB2312" w:cs="仿宋_GB2312" w:hAnsiTheme="minorHAnsi"/>
          <w:kern w:val="0"/>
          <w:sz w:val="32"/>
          <w:szCs w:val="32"/>
        </w:rPr>
      </w:pP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8D73F3"/>
    <w:rsid w:val="07042353"/>
    <w:rsid w:val="07054CC6"/>
    <w:rsid w:val="097135F8"/>
    <w:rsid w:val="0A6A002B"/>
    <w:rsid w:val="0B94568D"/>
    <w:rsid w:val="0BB21258"/>
    <w:rsid w:val="0CAF05A9"/>
    <w:rsid w:val="0CF8756B"/>
    <w:rsid w:val="0DEF0E24"/>
    <w:rsid w:val="0F6662AD"/>
    <w:rsid w:val="104D2DF6"/>
    <w:rsid w:val="13E417A5"/>
    <w:rsid w:val="175C3E90"/>
    <w:rsid w:val="18C62589"/>
    <w:rsid w:val="193C7AE0"/>
    <w:rsid w:val="1A7635C6"/>
    <w:rsid w:val="1E1A0BE2"/>
    <w:rsid w:val="20634725"/>
    <w:rsid w:val="21BE463C"/>
    <w:rsid w:val="253C6A98"/>
    <w:rsid w:val="25DD1D87"/>
    <w:rsid w:val="278B6067"/>
    <w:rsid w:val="287F2450"/>
    <w:rsid w:val="2A2956E5"/>
    <w:rsid w:val="2BF60EB1"/>
    <w:rsid w:val="2E1251C8"/>
    <w:rsid w:val="32E962A3"/>
    <w:rsid w:val="33AB3623"/>
    <w:rsid w:val="36D175E1"/>
    <w:rsid w:val="37FE4D34"/>
    <w:rsid w:val="399426E7"/>
    <w:rsid w:val="3C6967AB"/>
    <w:rsid w:val="3D4E7753"/>
    <w:rsid w:val="3F3D14E4"/>
    <w:rsid w:val="452436B8"/>
    <w:rsid w:val="461F057D"/>
    <w:rsid w:val="4A0D102D"/>
    <w:rsid w:val="4A6E2A38"/>
    <w:rsid w:val="4C11028C"/>
    <w:rsid w:val="52487E62"/>
    <w:rsid w:val="530F0082"/>
    <w:rsid w:val="5345675A"/>
    <w:rsid w:val="562F7A75"/>
    <w:rsid w:val="568E4305"/>
    <w:rsid w:val="57D717DB"/>
    <w:rsid w:val="58593FB4"/>
    <w:rsid w:val="5A7016B4"/>
    <w:rsid w:val="5BD602EF"/>
    <w:rsid w:val="5F987D46"/>
    <w:rsid w:val="638843E5"/>
    <w:rsid w:val="66B7754D"/>
    <w:rsid w:val="671847A0"/>
    <w:rsid w:val="67B5616F"/>
    <w:rsid w:val="69341B48"/>
    <w:rsid w:val="6C877688"/>
    <w:rsid w:val="6D6C5E4E"/>
    <w:rsid w:val="6DA8687A"/>
    <w:rsid w:val="6E0D7959"/>
    <w:rsid w:val="702C3B5A"/>
    <w:rsid w:val="7392039F"/>
    <w:rsid w:val="74722BB1"/>
    <w:rsid w:val="756567D0"/>
    <w:rsid w:val="75784B0F"/>
    <w:rsid w:val="79A4668D"/>
    <w:rsid w:val="7A53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TotalTime>
  <ScaleCrop>false</ScaleCrop>
  <LinksUpToDate>false</LinksUpToDate>
  <CharactersWithSpaces>4729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2025-01-21T08:10:51Z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6626B0F7AFDA43CDAC2DE2247922C210_12</vt:lpwstr>
  </property>
</Properties>
</file>