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共青团班戈县委员会</w:t>
      </w:r>
      <w:r>
        <w:rPr>
          <w:rFonts w:hint="eastAsia" w:ascii="方正小标宋简体" w:hAnsi="仿宋" w:eastAsia="方正小标宋简体"/>
          <w:sz w:val="44"/>
          <w:szCs w:val="44"/>
        </w:rPr>
        <w:t>2024年度预算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共青团班戈县委员会</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val="en-US" w:eastAsia="zh-CN"/>
        </w:rPr>
        <w:t>共青团班戈县委员会</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共青团班戈县委员会</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共青团班戈县委员会</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方正小标宋简体" w:hAnsi="仿宋" w:eastAsia="方正小标宋简体"/>
          <w:sz w:val="32"/>
          <w:szCs w:val="32"/>
          <w:lang w:val="en-US" w:eastAsia="zh-CN"/>
        </w:rPr>
        <w:t>共青团班戈县委员会</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val="en-US" w:eastAsia="zh-CN"/>
        </w:rPr>
        <w:t>共青团班戈县委员会</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方正小标宋简体" w:hAnsi="仿宋" w:eastAsia="方正小标宋简体"/>
          <w:sz w:val="32"/>
          <w:szCs w:val="32"/>
          <w:lang w:val="en-US" w:eastAsia="zh-CN"/>
        </w:rPr>
        <w:t>共青团班戈县委员会</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共青团班戈县委员会</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组织部印发的“三定”方案文件，规定的共青团班戈县委员会主要职责有以下几点：</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贯彻执行县委和团市委的决议、指示、协助政府管理青少年事务，领导全县共青团工作，领导和指导全县青联、学联和少先队工作，承担组织青年、引导青年、服务青年和维护青少年合法权益的职能。</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2、负责拟订全县青少年事业发展规划和青少年工作方针、政策。对全县青年培训工作、青少年活动阵地、青少年服务机构的建设和青少年读物出版等事务进行指导。</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3、参与有关青少年事务的法律、法规、规章、办法的制定和实施，处理、协调与青少年利益相关的事务，向党和政府反映青年的意见和要求。</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4、调查全县青年思想动态和青年工作状况，研究青少年运动、青少年工作理论等问题，为县委、县政府制定相关政策提供决策依据。</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指导全县青少年思想教育和宣传文化活动，组织全县青少年开展以维护祖国统一、加强民族团结、反对分裂为主题的爱国主义教育，开展马克思主义“四观”“两论”教育，促进全县社会局势和谐稳定和长治久安。</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6、围绕县委、县政府中心工作，组织团员青年在推进经济社会长足发展中发挥生力军和突击队作用。</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7、代表和维护青少年利益，建立和完善青少年为全体系，会同有关部门做好未成年人保护工作。指导全县青少年社会事务工作。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8、负责招募青年志愿者，组织指导青年志愿者开展各项志愿者服务活动。</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9、负责县青年联合会和青年统战工作。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10、负责拟订全县团组织和团干部队伍建设的政策措施。指导全县共青团组织、团干部队伍建设。</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12、完成县委、县政府交办的其他事项。</w:t>
      </w:r>
    </w:p>
    <w:p>
      <w:pPr>
        <w:ind w:firstLine="640" w:firstLineChars="200"/>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_GB2312" w:eastAsia="仿宋_GB2312"/>
          <w:sz w:val="32"/>
          <w:szCs w:val="32"/>
          <w:lang w:eastAsia="zh-CN"/>
        </w:rPr>
        <w:t>团县委机关行政编制</w:t>
      </w:r>
      <w:r>
        <w:rPr>
          <w:rFonts w:hint="eastAsia" w:ascii="仿宋_GB2312" w:eastAsia="仿宋_GB2312"/>
          <w:sz w:val="32"/>
          <w:szCs w:val="32"/>
          <w:lang w:val="en-US" w:eastAsia="zh-CN"/>
        </w:rPr>
        <w:t>2名。领导职数2名（正科级1名，副科级1名）。</w:t>
      </w:r>
      <w:r>
        <w:rPr>
          <w:rFonts w:hint="eastAsia" w:ascii="方正仿宋简体" w:hAnsi="方正仿宋简体" w:eastAsia="方正仿宋简体" w:cs="Helvetica"/>
          <w:color w:val="000000"/>
          <w:kern w:val="0"/>
          <w:sz w:val="32"/>
          <w:lang w:bidi="ar"/>
        </w:rPr>
        <w:t>实有人数</w:t>
      </w:r>
      <w:r>
        <w:rPr>
          <w:rFonts w:hint="eastAsia" w:ascii="方正仿宋简体" w:hAnsi="方正仿宋简体" w:eastAsia="方正仿宋简体" w:cs="Helvetica"/>
          <w:color w:val="000000"/>
          <w:kern w:val="0"/>
          <w:sz w:val="32"/>
          <w:lang w:val="en-US" w:eastAsia="zh-CN" w:bidi="ar"/>
        </w:rPr>
        <w:t>4</w:t>
      </w:r>
      <w:r>
        <w:rPr>
          <w:rFonts w:hint="eastAsia" w:ascii="方正仿宋简体" w:hAnsi="方正仿宋简体" w:eastAsia="方正仿宋简体" w:cs="Helvetica"/>
          <w:color w:val="000000"/>
          <w:kern w:val="0"/>
          <w:sz w:val="32"/>
          <w:lang w:bidi="ar"/>
        </w:rPr>
        <w:t>人</w:t>
      </w:r>
    </w:p>
    <w:p>
      <w:pPr>
        <w:ind w:firstLine="320" w:firstLineChars="100"/>
        <w:rPr>
          <w:rFonts w:ascii="仿宋" w:hAnsi="仿宋" w:eastAsia="仿宋"/>
          <w:sz w:val="32"/>
          <w:szCs w:val="32"/>
        </w:rPr>
      </w:pPr>
      <w:r>
        <w:rPr>
          <w:rFonts w:hint="eastAsia" w:ascii="仿宋_GB2312" w:eastAsia="仿宋_GB2312"/>
          <w:sz w:val="32"/>
          <w:szCs w:val="32"/>
        </w:rPr>
        <w:t>本单位由一个一</w:t>
      </w:r>
      <w:r>
        <w:rPr>
          <w:rFonts w:ascii="仿宋_GB2312" w:eastAsia="仿宋_GB2312"/>
          <w:sz w:val="32"/>
          <w:szCs w:val="32"/>
        </w:rPr>
        <w:t>级预算部门</w:t>
      </w:r>
      <w:r>
        <w:rPr>
          <w:rFonts w:hint="eastAsia" w:ascii="仿宋_GB2312" w:eastAsia="仿宋_GB2312"/>
          <w:sz w:val="32"/>
          <w:szCs w:val="32"/>
        </w:rPr>
        <w:t>构成</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共青团班戈县委员会</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共青团班戈县委员会</w:t>
      </w:r>
      <w:r>
        <w:rPr>
          <w:rFonts w:hint="eastAsia" w:ascii="方正小标宋简体" w:hAnsi="仿宋" w:eastAsia="方正小标宋简体"/>
          <w:sz w:val="32"/>
          <w:szCs w:val="32"/>
        </w:rPr>
        <w:t>2024年度部门预算数据分析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hAnsi="宋体" w:eastAsia="仿宋_GB2312" w:cs="宋体"/>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_GB2312" w:hAnsi="宋体" w:eastAsia="仿宋_GB2312" w:cs="宋体"/>
          <w:sz w:val="32"/>
          <w:szCs w:val="32"/>
          <w:lang w:val="en-US" w:eastAsia="zh-CN"/>
        </w:rPr>
        <w:t>较上年上升35.74万元，增加81.34%。</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例如：收入预算总量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 xml:space="preserve">35.74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人员经费的增加</w:t>
      </w:r>
      <w:r>
        <w:rPr>
          <w:rFonts w:hint="eastAsia" w:ascii="仿宋" w:hAnsi="仿宋" w:eastAsia="仿宋"/>
          <w:sz w:val="32"/>
          <w:szCs w:val="32"/>
        </w:rPr>
        <w:t>。其中：上年结转</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35.74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人员经费的增加</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156.30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81.44</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35.25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18.55</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35.74</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人员经费的增加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151.26</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17.24</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10.94</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17.24</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万元,比2023 年执行数或</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35.74</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人员经费的增加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151.26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w:t>
      </w:r>
      <w:r>
        <w:rPr>
          <w:rFonts w:hint="eastAsia" w:ascii="仿宋" w:hAnsi="仿宋" w:eastAsia="仿宋"/>
          <w:sz w:val="32"/>
          <w:szCs w:val="32"/>
          <w:u w:val="single"/>
        </w:rPr>
        <w:t xml:space="preserve">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35.74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81.34</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eastAsia="zh-CN"/>
        </w:rPr>
        <w:t>人员经费的增加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lang w:val="en-US" w:eastAsia="zh-CN"/>
        </w:rPr>
        <w:t>0</w:t>
      </w:r>
      <w:r>
        <w:rPr>
          <w:rFonts w:hint="eastAsia" w:ascii="仿宋" w:hAnsi="仿宋" w:eastAsia="仿宋"/>
          <w:sz w:val="32"/>
          <w:szCs w:val="32"/>
        </w:rPr>
        <w:t xml:space="preserve"> %。主要是</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191.55</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146.35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9.94</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统一管理</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我</w:t>
      </w:r>
      <w:r>
        <w:rPr>
          <w:rFonts w:hint="eastAsia" w:ascii="仿宋_GB2312" w:hAnsi="宋体" w:eastAsia="仿宋_GB2312" w:cs="宋体"/>
          <w:color w:val="000000"/>
          <w:sz w:val="32"/>
          <w:szCs w:val="32"/>
          <w:lang w:val="en-US" w:eastAsia="zh-CN"/>
        </w:rPr>
        <w:t>单位</w:t>
      </w:r>
      <w:r>
        <w:rPr>
          <w:rFonts w:hint="eastAsia" w:ascii="仿宋_GB2312" w:hAnsi="宋体" w:eastAsia="仿宋_GB2312" w:cs="宋体"/>
          <w:color w:val="000000"/>
          <w:sz w:val="32"/>
          <w:szCs w:val="32"/>
          <w:lang w:eastAsia="zh-CN"/>
        </w:rPr>
        <w:t>202</w:t>
      </w: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年度</w:t>
      </w:r>
      <w:r>
        <w:rPr>
          <w:rFonts w:ascii="仿宋_GB2312" w:hAnsi="宋体" w:eastAsia="仿宋_GB2312" w:cs="宋体"/>
          <w:color w:val="000000"/>
          <w:sz w:val="32"/>
          <w:szCs w:val="32"/>
        </w:rPr>
        <w:t>没有使用政府性基金安排的支出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0.16</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统一管理</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lang w:val="en-US" w:eastAsia="zh-CN"/>
        </w:rPr>
        <w:t>2024年部门行政机关运行财政拨款预算191.55万元，比2023年预算增加35.74万元，上升</w:t>
      </w:r>
      <w:r>
        <w:rPr>
          <w:rFonts w:hint="eastAsia" w:ascii="仿宋" w:hAnsi="仿宋" w:eastAsia="仿宋"/>
          <w:sz w:val="32"/>
          <w:szCs w:val="32"/>
          <w:u w:val="single"/>
          <w:lang w:val="en-US" w:eastAsia="zh-CN"/>
        </w:rPr>
        <w:t>81.34</w:t>
      </w:r>
      <w:r>
        <w:rPr>
          <w:rFonts w:hint="eastAsia" w:ascii="仿宋" w:hAnsi="仿宋" w:eastAsia="仿宋"/>
          <w:sz w:val="32"/>
          <w:szCs w:val="32"/>
          <w:u w:val="single"/>
        </w:rPr>
        <w:t xml:space="preserve"> </w:t>
      </w:r>
      <w:r>
        <w:rPr>
          <w:rFonts w:hint="eastAsia" w:ascii="方正仿宋简体" w:hAnsi="方正仿宋简体" w:eastAsia="方正仿宋简体" w:cs="方正仿宋简体"/>
          <w:color w:val="000000"/>
          <w:sz w:val="32"/>
          <w:szCs w:val="32"/>
          <w:lang w:val="en-US" w:eastAsia="zh-CN"/>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楷体" w:hAnsi="楷体" w:eastAsia="楷体"/>
          <w:sz w:val="32"/>
          <w:szCs w:val="32"/>
        </w:rPr>
      </w:pPr>
      <w:r>
        <w:rPr>
          <w:rFonts w:hint="eastAsia" w:ascii="方正仿宋简体" w:hAnsi="方正仿宋简体" w:eastAsia="方正仿宋简体" w:cs="方正仿宋简体"/>
          <w:kern w:val="2"/>
          <w:sz w:val="32"/>
          <w:szCs w:val="32"/>
          <w:lang w:val="en-US" w:eastAsia="zh-CN" w:bidi="ar"/>
        </w:rPr>
        <w:t>我单位2024年无政府采购情况</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40" w:firstLineChars="200"/>
        <w:jc w:val="both"/>
        <w:textAlignment w:val="auto"/>
        <w:rPr>
          <w:rFonts w:hint="eastAsia" w:ascii="仿宋_GB2312" w:hAnsi="宋体" w:eastAsia="仿宋_GB2312" w:cs="宋体"/>
          <w:color w:val="000000"/>
          <w:sz w:val="32"/>
          <w:szCs w:val="32"/>
          <w:lang w:val="en-US"/>
        </w:rPr>
      </w:pPr>
      <w:r>
        <w:rPr>
          <w:rFonts w:hint="eastAsia" w:ascii="方正仿宋简体" w:hAnsi="方正仿宋简体" w:eastAsia="方正仿宋简体" w:cs="方正仿宋简体"/>
          <w:color w:val="000000"/>
          <w:kern w:val="2"/>
          <w:sz w:val="32"/>
          <w:szCs w:val="32"/>
          <w:lang w:val="en-US" w:eastAsia="zh-CN" w:bidi="ar"/>
        </w:rPr>
        <w:t>我单位年无占用国有资产情况。</w:t>
      </w:r>
    </w:p>
    <w:p>
      <w:pPr>
        <w:spacing w:line="588" w:lineRule="exact"/>
        <w:ind w:firstLine="320" w:firstLineChars="1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5"/>
        <w:rPr>
          <w:rFonts w:ascii="仿宋" w:hAnsi="仿宋" w:eastAsia="仿宋"/>
          <w:sz w:val="32"/>
          <w:szCs w:val="32"/>
        </w:rPr>
      </w:pPr>
      <w:r>
        <w:rPr>
          <w:rFonts w:hint="eastAsia" w:ascii="方正仿宋简体" w:hAnsi="方正仿宋简体" w:eastAsia="方正仿宋简体" w:cs="方正仿宋简体"/>
          <w:kern w:val="0"/>
          <w:sz w:val="32"/>
          <w:szCs w:val="32"/>
          <w:lang w:val="en-US" w:eastAsia="zh-CN" w:bidi="ar"/>
        </w:rPr>
        <w:t>我单位无项目预算</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40" w:firstLineChars="200"/>
        <w:jc w:val="both"/>
        <w:textAlignment w:val="auto"/>
        <w:rPr>
          <w:rFonts w:hint="eastAsia" w:ascii="楷体" w:hAnsi="楷体" w:eastAsia="楷体"/>
          <w:sz w:val="32"/>
          <w:szCs w:val="32"/>
        </w:rPr>
      </w:pPr>
      <w:r>
        <w:rPr>
          <w:rFonts w:hint="eastAsia" w:ascii="方正仿宋简体" w:hAnsi="方正仿宋简体" w:eastAsia="方正仿宋简体" w:cs="方正仿宋简体"/>
          <w:color w:val="000000"/>
          <w:kern w:val="0"/>
          <w:sz w:val="32"/>
          <w:szCs w:val="32"/>
          <w:lang w:val="en-US" w:eastAsia="zh-CN" w:bidi="ar"/>
        </w:rPr>
        <w:t>我单位不涉及扶贫资金。</w:t>
      </w:r>
    </w:p>
    <w:p>
      <w:pPr>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578" w:lineRule="exact"/>
        <w:ind w:right="0" w:rightChars="0" w:firstLine="640" w:firstLineChars="200"/>
        <w:jc w:val="both"/>
        <w:textAlignment w:val="auto"/>
        <w:rPr>
          <w:rFonts w:hint="eastAsia" w:ascii="楷体" w:hAnsi="楷体" w:eastAsia="楷体"/>
          <w:sz w:val="32"/>
          <w:szCs w:val="32"/>
        </w:rPr>
      </w:pPr>
      <w:r>
        <w:rPr>
          <w:rFonts w:hint="eastAsia" w:ascii="楷体" w:hAnsi="楷体" w:eastAsia="楷体"/>
          <w:sz w:val="32"/>
          <w:szCs w:val="32"/>
        </w:rPr>
        <w:t>政府债务情况。</w:t>
      </w:r>
    </w:p>
    <w:p>
      <w:pPr>
        <w:keepNext w:val="0"/>
        <w:keepLines w:val="0"/>
        <w:pageBreakBefore w:val="0"/>
        <w:widowControl w:val="0"/>
        <w:numPr>
          <w:numId w:val="0"/>
        </w:numPr>
        <w:suppressLineNumbers w:val="0"/>
        <w:kinsoku/>
        <w:wordWrap/>
        <w:overflowPunct/>
        <w:topLinePunct w:val="0"/>
        <w:bidi w:val="0"/>
        <w:snapToGrid/>
        <w:spacing w:before="0" w:beforeAutospacing="0" w:after="0" w:afterAutospacing="0" w:line="578" w:lineRule="exact"/>
        <w:ind w:right="0" w:rightChars="0" w:firstLine="640" w:firstLineChars="200"/>
        <w:jc w:val="both"/>
        <w:textAlignment w:val="auto"/>
        <w:rPr>
          <w:rFonts w:hint="eastAsia"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kern w:val="0"/>
          <w:sz w:val="32"/>
          <w:szCs w:val="32"/>
          <w:lang w:val="en-US" w:eastAsia="zh-CN" w:bidi="ar"/>
        </w:rPr>
        <w:t>我单位无任何政府债务。</w:t>
      </w:r>
    </w:p>
    <w:p>
      <w:pPr>
        <w:ind w:firstLine="640" w:firstLineChars="200"/>
        <w:rPr>
          <w:rFonts w:ascii="仿宋" w:hAnsi="仿宋" w:eastAsia="仿宋"/>
          <w:sz w:val="32"/>
          <w:szCs w:val="32"/>
        </w:rPr>
      </w:pPr>
    </w:p>
    <w:p>
      <w:pPr>
        <w:jc w:val="both"/>
        <w:rPr>
          <w:rFonts w:hint="eastAsia" w:ascii="方正小标宋简体" w:hAnsi="仿宋" w:eastAsia="方正小标宋简体"/>
          <w:sz w:val="32"/>
          <w:szCs w:val="32"/>
        </w:rPr>
      </w:pPr>
    </w:p>
    <w:p>
      <w:pPr>
        <w:ind w:firstLine="3520" w:firstLineChars="1100"/>
        <w:jc w:val="both"/>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D5718"/>
    <w:multiLevelType w:val="singleLevel"/>
    <w:tmpl w:val="F3DD57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NTJkMzcyMDljZGNjN2U4MTFlODlmOTkyMmRiMTg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3BA32862"/>
    <w:rsid w:val="57346018"/>
    <w:rsid w:val="578632C9"/>
    <w:rsid w:val="5AA94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0</TotalTime>
  <ScaleCrop>false</ScaleCrop>
  <LinksUpToDate>false</LinksUpToDate>
  <CharactersWithSpaces>4729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尼玛</cp:lastModifiedBy>
  <cp:lastPrinted>2021-01-27T11:28:00Z</cp:lastPrinted>
  <dcterms:modified xsi:type="dcterms:W3CDTF">2024-02-06T13:07:01Z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6ABD437BC80146328661046253D257AE_12</vt:lpwstr>
  </property>
</Properties>
</file>