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中国共产党班戈县纪律检查委员会</w:t>
      </w:r>
      <w:r>
        <w:rPr>
          <w:rFonts w:hint="eastAsia" w:ascii="方正小标宋简体" w:hAnsi="仿宋" w:eastAsia="方正小标宋简体"/>
          <w:sz w:val="44"/>
          <w:szCs w:val="44"/>
        </w:rPr>
        <w:t>2024年度部门预算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 xml:space="preserve">  月 </w:t>
      </w:r>
      <w:r>
        <w:rPr>
          <w:rFonts w:hint="eastAsia" w:ascii="仿宋" w:hAnsi="仿宋" w:eastAsia="仿宋"/>
          <w:sz w:val="32"/>
          <w:szCs w:val="32"/>
          <w:lang w:val="en-US" w:eastAsia="zh-CN"/>
        </w:rPr>
        <w:t>29</w:t>
      </w:r>
      <w:r>
        <w:rPr>
          <w:rFonts w:hint="eastAsia" w:ascii="仿宋" w:hAnsi="仿宋" w:eastAsia="仿宋"/>
          <w:sz w:val="32"/>
          <w:szCs w:val="32"/>
        </w:rPr>
        <w:t>日</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spacing w:line="460" w:lineRule="exact"/>
        <w:jc w:val="center"/>
        <w:rPr>
          <w:rFonts w:hint="eastAsia" w:ascii="宋体" w:hAnsi="宋体"/>
          <w:b/>
          <w:sz w:val="40"/>
          <w:szCs w:val="40"/>
        </w:rPr>
      </w:pPr>
      <w:r>
        <w:rPr>
          <w:rFonts w:hint="eastAsia" w:ascii="宋体" w:hAnsi="宋体"/>
          <w:b/>
          <w:sz w:val="40"/>
          <w:szCs w:val="40"/>
        </w:rPr>
        <w:t>目  录</w:t>
      </w:r>
    </w:p>
    <w:p>
      <w:pPr>
        <w:spacing w:line="460" w:lineRule="exact"/>
        <w:rPr>
          <w:rFonts w:hint="eastAsia" w:ascii="宋体" w:hAnsi="宋体"/>
          <w:b/>
          <w:sz w:val="40"/>
          <w:szCs w:val="40"/>
        </w:rPr>
      </w:pP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 xml:space="preserve">第一部分 </w:t>
      </w:r>
      <w:r>
        <w:rPr>
          <w:rFonts w:hint="eastAsia" w:ascii="黑体" w:hAnsi="宋体" w:eastAsia="黑体"/>
          <w:sz w:val="32"/>
          <w:szCs w:val="32"/>
          <w:lang w:eastAsia="zh-CN"/>
        </w:rPr>
        <w:t>班戈县纪委监委</w:t>
      </w:r>
      <w:r>
        <w:rPr>
          <w:rFonts w:hint="eastAsia" w:ascii="黑体" w:hAnsi="宋体" w:eastAsia="黑体"/>
          <w:sz w:val="32"/>
          <w:szCs w:val="32"/>
        </w:rPr>
        <w:t>概况</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一、部门预算单位构成</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二、部门职责和机构设置</w:t>
      </w: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 xml:space="preserve">第二部分  </w:t>
      </w:r>
      <w:r>
        <w:rPr>
          <w:rFonts w:hint="eastAsia" w:ascii="黑体" w:hAnsi="宋体" w:eastAsia="黑体"/>
          <w:sz w:val="32"/>
          <w:szCs w:val="32"/>
          <w:lang w:eastAsia="zh-CN"/>
        </w:rPr>
        <w:t>班戈县纪委监委202</w:t>
      </w:r>
      <w:r>
        <w:rPr>
          <w:rFonts w:hint="eastAsia" w:ascii="黑体" w:hAnsi="宋体" w:eastAsia="黑体"/>
          <w:sz w:val="32"/>
          <w:szCs w:val="32"/>
          <w:lang w:val="en-US" w:eastAsia="zh-CN"/>
        </w:rPr>
        <w:t>4</w:t>
      </w:r>
      <w:r>
        <w:rPr>
          <w:rFonts w:hint="eastAsia" w:ascii="黑体" w:hAnsi="宋体" w:eastAsia="黑体"/>
          <w:sz w:val="32"/>
          <w:szCs w:val="32"/>
        </w:rPr>
        <w:t>年度部门预算明细表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一、财政拨款收支总表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二、一般公共预算支出表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三、一般公共预算基本支出表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四、一般公共预算“三公”经费支出表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五、政府性基金预算支出表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六、部门收支总表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七、部门收入总表</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八、部门支出总表</w:t>
      </w: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 xml:space="preserve">第三部分  </w:t>
      </w:r>
      <w:r>
        <w:rPr>
          <w:rFonts w:hint="eastAsia" w:ascii="黑体" w:hAnsi="宋体" w:eastAsia="黑体"/>
          <w:sz w:val="32"/>
          <w:szCs w:val="32"/>
          <w:lang w:eastAsia="zh-CN"/>
        </w:rPr>
        <w:t>班戈县纪委监委202</w:t>
      </w:r>
      <w:r>
        <w:rPr>
          <w:rFonts w:hint="eastAsia" w:ascii="黑体" w:hAnsi="宋体" w:eastAsia="黑体"/>
          <w:sz w:val="32"/>
          <w:szCs w:val="32"/>
          <w:lang w:val="en-US" w:eastAsia="zh-CN"/>
        </w:rPr>
        <w:t>4</w:t>
      </w:r>
      <w:r>
        <w:rPr>
          <w:rFonts w:hint="eastAsia" w:ascii="黑体" w:hAnsi="宋体" w:eastAsia="黑体"/>
          <w:sz w:val="32"/>
          <w:szCs w:val="32"/>
        </w:rPr>
        <w:t>年度部门预算数据分析</w:t>
      </w:r>
    </w:p>
    <w:p>
      <w:pPr>
        <w:spacing w:before="312" w:beforeLines="100" w:after="312" w:afterLines="100" w:line="460" w:lineRule="exact"/>
        <w:rPr>
          <w:rFonts w:hint="eastAsia" w:ascii="黑体" w:hAnsi="宋体" w:eastAsia="黑体"/>
          <w:sz w:val="32"/>
          <w:szCs w:val="32"/>
        </w:rPr>
      </w:pPr>
      <w:r>
        <w:rPr>
          <w:rFonts w:hint="eastAsia" w:ascii="黑体" w:hAnsi="宋体" w:eastAsia="黑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hint="eastAsia" w:ascii="方正小标宋简体" w:hAnsi="仿宋" w:eastAsia="方正小标宋简体"/>
          <w:sz w:val="44"/>
          <w:szCs w:val="44"/>
          <w:lang w:val="en-US" w:eastAsia="zh-CN"/>
        </w:rPr>
      </w:pPr>
      <w:bookmarkStart w:id="0" w:name="_GoBack"/>
      <w:r>
        <w:rPr>
          <w:rFonts w:hint="eastAsia" w:ascii="方正小标宋简体" w:hAnsi="仿宋" w:eastAsia="方正小标宋简体"/>
          <w:sz w:val="44"/>
          <w:szCs w:val="44"/>
          <w:lang w:val="en-US" w:eastAsia="zh-CN"/>
        </w:rPr>
        <w:t>班戈县纪委监委概况</w:t>
      </w:r>
    </w:p>
    <w:bookmarkEnd w:id="0"/>
    <w:p>
      <w:pPr>
        <w:spacing w:line="460" w:lineRule="exact"/>
        <w:jc w:val="center"/>
        <w:rPr>
          <w:rFonts w:hint="eastAsia" w:ascii="黑体" w:hAnsi="宋体" w:eastAsia="黑体"/>
          <w:sz w:val="48"/>
          <w:szCs w:val="48"/>
        </w:rPr>
      </w:pPr>
    </w:p>
    <w:p>
      <w:pPr>
        <w:ind w:firstLine="630" w:firstLineChars="196"/>
        <w:rPr>
          <w:rFonts w:hint="eastAsia" w:ascii="黑体" w:hAnsi="宋体" w:eastAsia="黑体"/>
          <w:b/>
          <w:sz w:val="32"/>
          <w:szCs w:val="32"/>
        </w:rPr>
      </w:pPr>
      <w:r>
        <w:rPr>
          <w:rFonts w:hint="eastAsia" w:ascii="黑体" w:hAnsi="宋体" w:eastAsia="黑体"/>
          <w:b/>
          <w:sz w:val="32"/>
          <w:szCs w:val="32"/>
        </w:rPr>
        <w:t>一、部门预算</w:t>
      </w:r>
      <w:r>
        <w:rPr>
          <w:rFonts w:ascii="黑体" w:hAnsi="宋体" w:eastAsia="黑体"/>
          <w:b/>
          <w:sz w:val="32"/>
          <w:szCs w:val="32"/>
        </w:rPr>
        <w:t>单位构成</w:t>
      </w:r>
    </w:p>
    <w:p>
      <w:pPr>
        <w:ind w:firstLine="627" w:firstLineChars="196"/>
        <w:rPr>
          <w:rFonts w:hint="default" w:ascii="黑体" w:hAnsi="宋体" w:eastAsia="黑体"/>
          <w:b/>
          <w:sz w:val="32"/>
          <w:szCs w:val="32"/>
          <w:lang w:val="en-US" w:eastAsia="zh-CN"/>
        </w:rPr>
      </w:pPr>
      <w:r>
        <w:rPr>
          <w:rFonts w:hint="eastAsia" w:ascii="仿宋_GB2312" w:eastAsia="仿宋_GB2312"/>
          <w:sz w:val="32"/>
          <w:szCs w:val="32"/>
          <w:lang w:eastAsia="zh-CN"/>
        </w:rPr>
        <w:t>纳入班戈县纪委监委</w:t>
      </w:r>
      <w:r>
        <w:rPr>
          <w:rFonts w:hint="eastAsia" w:ascii="仿宋_GB2312" w:eastAsia="仿宋_GB2312"/>
          <w:sz w:val="32"/>
          <w:szCs w:val="32"/>
          <w:lang w:val="en-US" w:eastAsia="zh-CN"/>
        </w:rPr>
        <w:t>2024年部门预算编制范围的单位包括班戈县纪委监委一个部门。</w:t>
      </w:r>
    </w:p>
    <w:p>
      <w:pPr>
        <w:ind w:firstLine="643" w:firstLineChars="200"/>
        <w:rPr>
          <w:rFonts w:hint="eastAsia" w:ascii="黑体" w:hAnsi="宋体" w:eastAsia="黑体"/>
          <w:b/>
          <w:sz w:val="32"/>
          <w:szCs w:val="32"/>
        </w:rPr>
      </w:pPr>
      <w:r>
        <w:rPr>
          <w:rFonts w:hint="eastAsia" w:ascii="黑体" w:hAnsi="宋体" w:eastAsia="黑体"/>
          <w:b/>
          <w:sz w:val="32"/>
          <w:szCs w:val="32"/>
        </w:rPr>
        <w:t>二、部门</w:t>
      </w:r>
      <w:r>
        <w:rPr>
          <w:rFonts w:ascii="黑体" w:hAnsi="宋体" w:eastAsia="黑体"/>
          <w:b/>
          <w:sz w:val="32"/>
          <w:szCs w:val="32"/>
        </w:rPr>
        <w:t>职责和</w:t>
      </w:r>
      <w:r>
        <w:rPr>
          <w:rFonts w:hint="eastAsia" w:ascii="黑体" w:hAnsi="宋体" w:eastAsia="黑体"/>
          <w:b/>
          <w:sz w:val="32"/>
          <w:szCs w:val="32"/>
        </w:rPr>
        <w:t>机构设置</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部门职责。</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纪律检查委员会主要职责。</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rPr>
        <w:t>班戈县纪律检查委员会与监察委员会合署办公，受班戈县委和那曲市纪委、监委的双重领导，履行党的纪律检查和国家监察职能。</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主管全县党的纪律检查工作。贯彻落实党中央、中纪委、自治区党委、自治区纪委、市委和县委关于党内监督和纪律检查工作的决定，维护党的章程和其他党的纪律法规，检查党的路线、方针、政策和决议的执行情况。</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负责监督执纪问责县各部门党组（党委）、各乡（镇）党的组织及其科级以上党员领导干部违反党的章程及其他党内法规的行为决定对这些党组织和党员的组织处理和党纪处分；受理党组织和党员不服从组织处理和党纪处分的申诉；受理个人和单位对党组织和党员违反党纪行为的检举、控告。</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w:t>
      </w: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负责监督调查处置县各部门及其国家公务员和县政府及其各部门任命的其他人员、各乡（镇）政府及其领导人员违反政纪的行为，决定对上述监察对象的组织处理和行政处分（对涉及选举产生的领导干部按法定程序办理）；受理监察对象不服组织处理和政务处分的申诉；受理个人或单位对监察对象政务违纪行为检举、控告；负责解除受到开除公职之外政务处分的已改正错误的国家公务员的政务处分。</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w:t>
      </w:r>
      <w:r>
        <w:rPr>
          <w:rFonts w:hint="eastAsia"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sz w:val="32"/>
          <w:szCs w:val="32"/>
        </w:rPr>
        <w:t>负责做出关于维护党纪政纪的决定，制订全县党风党纪，政风政纪教育规则，开展有关宣传教育工作。</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协助县委抓好党风廉政建设，反腐败斗争工作，监督检查各乡（镇）、各部门贯彻落实党风廉政建设责任制的情况。</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组织协调纠正部门和行业不正之风并监督检查。</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对纪检监察工作理论和有关问题进行调查研究。</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会同县直部门以及各乡（镇）党委、政府做好纪检监察干部管理工作，组织指导全县纪检监察系统干部培训工作。</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承办县委、监委交办的其他事项。</w:t>
      </w:r>
    </w:p>
    <w:p>
      <w:pPr>
        <w:spacing w:line="578" w:lineRule="exact"/>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 xml:space="preserve">监察委员会主要职能和职责  </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rPr>
        <w:t>监察委员会的职能是：（1）维护宪法和法律法规权威，依法监察公职人员行使公权力情况。对中国共产党的机关、人大机关、行政机关、政协机关、监察机关、审判机关、检察机关、民主党派和工商联机关的公务员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集体事务管理的人员及其他依法履行公职的人员实施监察。</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rPr>
        <w:t>（2）调查职务违法和职务犯罪。县监察委员会独立行使监察权，可以采取谈话、讯问、询问、查询、冻结、调取、查封、扣押、搜查、勘验检查、鉴定、留置等措施开展调查。需要采取技术调查、限制出境等措施的，应经过严格的批准手续，按照规定交有关机关执行。试点期间，县监察委员会如需要使用留置措施要报自治区监察委员会审批，并在自治区监察委员会指定的场所执行。</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rPr>
        <w:t>（3）开展廉政建设和反腐败工作。</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rPr>
        <w:t xml:space="preserve"> 1.监察委员会的职责是：履行监督、调查、处置职责。监督：对公职人员开展廉政教育，对其依法履职、秉公用权、廉洁从政从业以及道德操守情况进行监督检查。调查：对涉嫌贪污贿赂、滥用职权、玩忽职守、权力寻租、利益输送、徇私舞弊以及浪费国家资产等职务违法和职务犯罪进行调查。处置：对违法的公职人员依法作出政务处分决定，对履行职责不力、失职失责的领导人员进行问责，对涉嫌职务犯罪的将调查结果移送检察机关依法提起公诉，对在行使职权中存在的问题提出监察建议。</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rPr>
        <w:t xml:space="preserve"> 2.县纪委监委要探索通过赋予乡（镇）纪检干部检察员相应的职责和权限，协助乡（镇）党委开展监察工作。</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rPr>
        <w:t xml:space="preserve"> 3.监察委员会与执法机关、司法机关的协调衔接机制 班戈县人民检察院要对涉嫌职务违法犯罪案件线索进行全面梳理，列出详细清单，移交班戈县监察委员会。转隶前检察院职务犯罪侦查（反贪污贿赂、反渎职侵权）相关职能部门已经立案、尚未办结的案件按原有工作程序继续办理，转隶后新立案调查的按新的领导关系由监察委员会审批。</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rPr>
        <w:t>4.在线索处置方面，司法机关、执法机关在工作中发现公职人员问题线索，应当移送班戈县监察委员会依法调查处置。</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5.县纪委监委要探索通过赋予乡（镇）纪检干部检察员相应的职责和权限，协助乡（镇）开展监察工作。</w:t>
      </w:r>
    </w:p>
    <w:p>
      <w:pPr>
        <w:spacing w:line="578"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w:t>
      </w:r>
      <w:r>
        <w:rPr>
          <w:rFonts w:hint="eastAsia" w:ascii="黑体" w:hAnsi="黑体" w:eastAsia="黑体"/>
          <w:sz w:val="32"/>
          <w:szCs w:val="32"/>
        </w:rPr>
        <w:t>二</w:t>
      </w:r>
      <w:r>
        <w:rPr>
          <w:rFonts w:hint="eastAsia" w:ascii="黑体" w:hAnsi="黑体" w:eastAsia="黑体"/>
          <w:sz w:val="32"/>
          <w:szCs w:val="32"/>
          <w:lang w:eastAsia="zh-CN"/>
        </w:rPr>
        <w:t>）</w:t>
      </w:r>
      <w:r>
        <w:rPr>
          <w:rFonts w:hint="eastAsia" w:ascii="黑体" w:hAnsi="黑体" w:eastAsia="黑体"/>
          <w:sz w:val="32"/>
          <w:szCs w:val="32"/>
        </w:rPr>
        <w:t>部门</w:t>
      </w:r>
      <w:r>
        <w:rPr>
          <w:rFonts w:hint="eastAsia" w:ascii="黑体" w:hAnsi="黑体" w:eastAsia="黑体"/>
          <w:sz w:val="32"/>
          <w:szCs w:val="32"/>
          <w:lang w:eastAsia="zh-CN"/>
        </w:rPr>
        <w:t>机构设置</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纳入班戈县纪委监委202</w:t>
      </w:r>
      <w:r>
        <w:rPr>
          <w:rFonts w:hint="eastAsia" w:ascii="仿宋" w:hAnsi="仿宋" w:eastAsia="仿宋"/>
          <w:sz w:val="32"/>
          <w:szCs w:val="32"/>
          <w:lang w:val="en-US" w:eastAsia="zh-CN"/>
        </w:rPr>
        <w:t>4</w:t>
      </w:r>
      <w:r>
        <w:rPr>
          <w:rFonts w:hint="eastAsia" w:ascii="仿宋" w:hAnsi="仿宋" w:eastAsia="仿宋"/>
          <w:sz w:val="32"/>
          <w:szCs w:val="32"/>
        </w:rPr>
        <w:t>年部门预算编制范围的单位包括班戈县纪委监委一个部门。县纪委监委机关行政编制</w:t>
      </w:r>
      <w:r>
        <w:rPr>
          <w:rFonts w:hint="eastAsia" w:ascii="仿宋" w:hAnsi="仿宋" w:eastAsia="仿宋"/>
          <w:sz w:val="32"/>
          <w:szCs w:val="32"/>
          <w:lang w:val="en-US" w:eastAsia="zh-CN"/>
        </w:rPr>
        <w:t>12</w:t>
      </w:r>
      <w:r>
        <w:rPr>
          <w:rFonts w:hint="eastAsia" w:ascii="仿宋" w:hAnsi="仿宋" w:eastAsia="仿宋"/>
          <w:sz w:val="32"/>
          <w:szCs w:val="32"/>
        </w:rPr>
        <w:t>名，领导职数</w:t>
      </w:r>
      <w:r>
        <w:rPr>
          <w:rFonts w:hint="eastAsia" w:ascii="仿宋" w:hAnsi="仿宋" w:eastAsia="仿宋"/>
          <w:sz w:val="32"/>
          <w:szCs w:val="32"/>
          <w:lang w:val="en-US" w:eastAsia="zh-CN"/>
        </w:rPr>
        <w:t>8</w:t>
      </w:r>
      <w:r>
        <w:rPr>
          <w:rFonts w:hint="eastAsia" w:ascii="仿宋" w:hAnsi="仿宋" w:eastAsia="仿宋"/>
          <w:sz w:val="32"/>
          <w:szCs w:val="32"/>
        </w:rPr>
        <w:t>名：其中纪委书记1名、纪委副书记（正科级）2名、纪委常委2名</w:t>
      </w:r>
      <w:r>
        <w:rPr>
          <w:rFonts w:hint="eastAsia" w:ascii="仿宋" w:hAnsi="仿宋" w:eastAsia="仿宋"/>
          <w:sz w:val="32"/>
          <w:szCs w:val="32"/>
          <w:lang w:eastAsia="zh-CN"/>
        </w:rPr>
        <w:t>、</w:t>
      </w:r>
      <w:r>
        <w:rPr>
          <w:rFonts w:hint="eastAsia" w:ascii="仿宋" w:hAnsi="仿宋" w:eastAsia="仿宋"/>
          <w:sz w:val="32"/>
          <w:szCs w:val="32"/>
        </w:rPr>
        <w:t>监委委员2名（1名由纪委常委兼任，1名专职监委委员）。内设机构副科级领导职数</w:t>
      </w:r>
      <w:r>
        <w:rPr>
          <w:rFonts w:hint="eastAsia" w:ascii="仿宋" w:hAnsi="仿宋" w:eastAsia="仿宋"/>
          <w:sz w:val="32"/>
          <w:szCs w:val="32"/>
          <w:lang w:val="en-US" w:eastAsia="zh-CN"/>
        </w:rPr>
        <w:t>2</w:t>
      </w:r>
      <w:r>
        <w:rPr>
          <w:rFonts w:hint="eastAsia" w:ascii="仿宋" w:hAnsi="仿宋" w:eastAsia="仿宋"/>
          <w:sz w:val="32"/>
          <w:szCs w:val="32"/>
        </w:rPr>
        <w:t>名</w:t>
      </w:r>
      <w:r>
        <w:rPr>
          <w:rFonts w:hint="eastAsia" w:ascii="仿宋" w:hAnsi="仿宋" w:eastAsia="仿宋"/>
          <w:sz w:val="32"/>
          <w:szCs w:val="32"/>
          <w:lang w:eastAsia="zh-CN"/>
        </w:rPr>
        <w:t>（</w:t>
      </w:r>
      <w:r>
        <w:rPr>
          <w:rFonts w:hint="eastAsia" w:ascii="仿宋" w:hAnsi="仿宋" w:eastAsia="仿宋"/>
          <w:sz w:val="32"/>
          <w:szCs w:val="32"/>
          <w:lang w:val="en-US" w:eastAsia="zh-CN"/>
        </w:rPr>
        <w:t>综合办主任1名、监察室主任1名</w:t>
      </w:r>
      <w:r>
        <w:rPr>
          <w:rFonts w:hint="eastAsia" w:ascii="仿宋" w:hAnsi="仿宋" w:eastAsia="仿宋"/>
          <w:sz w:val="32"/>
          <w:szCs w:val="32"/>
          <w:lang w:eastAsia="zh-CN"/>
        </w:rPr>
        <w:t>）</w:t>
      </w:r>
      <w:r>
        <w:rPr>
          <w:rFonts w:hint="eastAsia" w:ascii="仿宋" w:hAnsi="仿宋" w:eastAsia="仿宋"/>
          <w:sz w:val="32"/>
          <w:szCs w:val="32"/>
        </w:rPr>
        <w:t>。</w:t>
      </w:r>
    </w:p>
    <w:p>
      <w:pPr>
        <w:ind w:firstLine="803"/>
        <w:rPr>
          <w:rFonts w:hint="eastAsia" w:ascii="仿宋_GB2312" w:eastAsia="仿宋_GB2312"/>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中国共产党班戈县纪律检查委员会</w:t>
      </w: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中国共产党班戈县纪律检查委员会</w:t>
      </w:r>
      <w:r>
        <w:rPr>
          <w:rFonts w:hint="eastAsia" w:ascii="方正小标宋简体" w:hAnsi="仿宋" w:eastAsia="方正小标宋简体"/>
          <w:sz w:val="44"/>
          <w:szCs w:val="44"/>
        </w:rPr>
        <w:t>2024年度部门预算数据分析</w:t>
      </w:r>
    </w:p>
    <w:p>
      <w:pPr>
        <w:spacing w:line="578"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一、2024年度财政拨款收支预算情况总体说明</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 xml:space="preserve">年财政拨款收支总预算 </w:t>
      </w:r>
      <w:r>
        <w:rPr>
          <w:rFonts w:hint="eastAsia" w:ascii="仿宋" w:hAnsi="仿宋" w:eastAsia="仿宋"/>
          <w:sz w:val="32"/>
          <w:szCs w:val="32"/>
          <w:lang w:val="en-US" w:eastAsia="zh-CN"/>
        </w:rPr>
        <w:t>605.1126</w:t>
      </w:r>
      <w:r>
        <w:rPr>
          <w:rFonts w:hint="eastAsia" w:ascii="仿宋" w:hAnsi="仿宋" w:eastAsia="仿宋"/>
          <w:sz w:val="32"/>
          <w:szCs w:val="32"/>
        </w:rPr>
        <w:t xml:space="preserve"> 万元。收入为一般公共预算拨款</w:t>
      </w:r>
      <w:r>
        <w:rPr>
          <w:rFonts w:hint="eastAsia" w:ascii="仿宋" w:hAnsi="仿宋" w:eastAsia="仿宋"/>
          <w:sz w:val="32"/>
          <w:szCs w:val="32"/>
          <w:lang w:val="en-US" w:eastAsia="zh-CN"/>
        </w:rPr>
        <w:t xml:space="preserve">  605.1126</w:t>
      </w:r>
      <w:r>
        <w:rPr>
          <w:rFonts w:hint="eastAsia" w:ascii="仿宋" w:hAnsi="仿宋" w:eastAsia="仿宋"/>
          <w:sz w:val="32"/>
          <w:szCs w:val="32"/>
        </w:rPr>
        <w:t xml:space="preserve"> </w:t>
      </w:r>
      <w:r>
        <w:rPr>
          <w:rFonts w:hint="eastAsia" w:ascii="仿宋" w:hAnsi="仿宋" w:eastAsia="仿宋"/>
          <w:sz w:val="32"/>
          <w:szCs w:val="32"/>
          <w:lang w:val="en-US" w:eastAsia="zh-CN"/>
        </w:rPr>
        <w:t>万元</w:t>
      </w:r>
      <w:r>
        <w:rPr>
          <w:rFonts w:hint="eastAsia" w:ascii="仿宋" w:hAnsi="仿宋" w:eastAsia="仿宋"/>
          <w:sz w:val="32"/>
          <w:szCs w:val="32"/>
        </w:rPr>
        <w:t>，包括：一般公共预算当年拨款收入</w:t>
      </w:r>
      <w:r>
        <w:rPr>
          <w:rFonts w:hint="eastAsia" w:ascii="仿宋" w:hAnsi="仿宋" w:eastAsia="仿宋"/>
          <w:sz w:val="32"/>
          <w:szCs w:val="32"/>
          <w:lang w:val="en-US" w:eastAsia="zh-CN"/>
        </w:rPr>
        <w:t xml:space="preserve"> 605.1126</w:t>
      </w:r>
      <w:r>
        <w:rPr>
          <w:rFonts w:hint="eastAsia" w:ascii="仿宋" w:hAnsi="仿宋" w:eastAsia="仿宋"/>
          <w:sz w:val="32"/>
          <w:szCs w:val="32"/>
        </w:rPr>
        <w:t xml:space="preserve">万元、上年结转 </w:t>
      </w:r>
      <w:r>
        <w:rPr>
          <w:rFonts w:hint="eastAsia" w:ascii="仿宋" w:hAnsi="仿宋" w:eastAsia="仿宋"/>
          <w:sz w:val="32"/>
          <w:szCs w:val="32"/>
          <w:lang w:val="en-US" w:eastAsia="zh-CN"/>
        </w:rPr>
        <w:t>0</w:t>
      </w:r>
      <w:r>
        <w:rPr>
          <w:rFonts w:hint="eastAsia" w:ascii="仿宋" w:hAnsi="仿宋" w:eastAsia="仿宋"/>
          <w:sz w:val="32"/>
          <w:szCs w:val="32"/>
        </w:rPr>
        <w:t xml:space="preserve">万元；支出包括：一般公共服务支出 </w:t>
      </w:r>
      <w:r>
        <w:rPr>
          <w:rFonts w:hint="eastAsia" w:ascii="仿宋" w:hAnsi="仿宋" w:eastAsia="仿宋"/>
          <w:sz w:val="32"/>
          <w:szCs w:val="32"/>
          <w:lang w:val="en-US" w:eastAsia="zh-CN"/>
        </w:rPr>
        <w:t>460.20</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63.22</w:t>
      </w:r>
      <w:r>
        <w:rPr>
          <w:rFonts w:hint="eastAsia" w:ascii="仿宋" w:hAnsi="仿宋" w:eastAsia="仿宋"/>
          <w:sz w:val="32"/>
          <w:szCs w:val="32"/>
        </w:rPr>
        <w:t>万元、卫生健康支出</w:t>
      </w:r>
      <w:r>
        <w:rPr>
          <w:rFonts w:hint="eastAsia" w:ascii="仿宋" w:hAnsi="仿宋" w:eastAsia="仿宋"/>
          <w:sz w:val="32"/>
          <w:szCs w:val="32"/>
          <w:lang w:val="en-US" w:eastAsia="zh-CN"/>
        </w:rPr>
        <w:t>38.12</w:t>
      </w:r>
      <w:r>
        <w:rPr>
          <w:rFonts w:hint="eastAsia" w:ascii="仿宋" w:hAnsi="仿宋" w:eastAsia="仿宋"/>
          <w:sz w:val="32"/>
          <w:szCs w:val="32"/>
        </w:rPr>
        <w:t>万元、住房保障支出</w:t>
      </w:r>
      <w:r>
        <w:rPr>
          <w:rFonts w:hint="eastAsia" w:ascii="仿宋" w:hAnsi="仿宋" w:eastAsia="仿宋"/>
          <w:sz w:val="32"/>
          <w:szCs w:val="32"/>
          <w:lang w:val="en-US" w:eastAsia="zh-CN"/>
        </w:rPr>
        <w:t>43.58</w:t>
      </w:r>
      <w:r>
        <w:rPr>
          <w:rFonts w:hint="eastAsia" w:ascii="仿宋" w:hAnsi="仿宋" w:eastAsia="仿宋"/>
          <w:sz w:val="32"/>
          <w:szCs w:val="32"/>
        </w:rPr>
        <w:t>万元。</w:t>
      </w:r>
    </w:p>
    <w:p>
      <w:pPr>
        <w:spacing w:line="578"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二、2024年度一般公共预算当年财政拨款情况说明</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一般公共预算当年拨款规模变化情况</w:t>
      </w:r>
    </w:p>
    <w:p>
      <w:pPr>
        <w:spacing w:line="578"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2024年</w:t>
      </w:r>
      <w:r>
        <w:rPr>
          <w:rFonts w:hint="eastAsia" w:ascii="仿宋" w:hAnsi="仿宋" w:eastAsia="仿宋"/>
          <w:sz w:val="32"/>
          <w:szCs w:val="32"/>
        </w:rPr>
        <w:t>一般公共预算当年拨款</w:t>
      </w:r>
      <w:r>
        <w:rPr>
          <w:rFonts w:hint="eastAsia" w:ascii="仿宋" w:hAnsi="仿宋" w:eastAsia="仿宋"/>
          <w:sz w:val="32"/>
          <w:szCs w:val="32"/>
          <w:lang w:val="en-US" w:eastAsia="zh-CN"/>
        </w:rPr>
        <w:t>605.1126</w:t>
      </w:r>
      <w:r>
        <w:rPr>
          <w:rFonts w:hint="eastAsia" w:ascii="仿宋" w:hAnsi="仿宋" w:eastAsia="仿宋"/>
          <w:sz w:val="32"/>
          <w:szCs w:val="32"/>
        </w:rPr>
        <w:t xml:space="preserve"> 万元,比202</w:t>
      </w:r>
      <w:r>
        <w:rPr>
          <w:rFonts w:hint="eastAsia" w:ascii="仿宋" w:hAnsi="仿宋" w:eastAsia="仿宋"/>
          <w:sz w:val="32"/>
          <w:szCs w:val="32"/>
          <w:lang w:val="en-US" w:eastAsia="zh-CN"/>
        </w:rPr>
        <w:t>3</w:t>
      </w:r>
      <w:r>
        <w:rPr>
          <w:rFonts w:hint="eastAsia" w:ascii="仿宋" w:hAnsi="仿宋" w:eastAsia="仿宋"/>
          <w:sz w:val="32"/>
          <w:szCs w:val="32"/>
        </w:rPr>
        <w:t xml:space="preserve"> 年执行数</w:t>
      </w:r>
      <w:r>
        <w:rPr>
          <w:rFonts w:hint="eastAsia" w:ascii="仿宋" w:hAnsi="仿宋" w:eastAsia="仿宋"/>
          <w:sz w:val="32"/>
          <w:szCs w:val="32"/>
          <w:lang w:eastAsia="zh-CN"/>
        </w:rPr>
        <w:t>增加</w:t>
      </w:r>
      <w:r>
        <w:rPr>
          <w:rFonts w:hint="eastAsia" w:ascii="仿宋" w:hAnsi="仿宋" w:eastAsia="仿宋"/>
          <w:sz w:val="32"/>
          <w:szCs w:val="32"/>
          <w:lang w:val="en-US" w:eastAsia="zh-CN"/>
        </w:rPr>
        <w:t>18.1026</w:t>
      </w:r>
      <w:r>
        <w:rPr>
          <w:rFonts w:hint="eastAsia" w:ascii="仿宋" w:hAnsi="仿宋" w:eastAsia="仿宋"/>
          <w:sz w:val="32"/>
          <w:szCs w:val="32"/>
        </w:rPr>
        <w:t>万元，主要原因：</w:t>
      </w:r>
      <w:r>
        <w:rPr>
          <w:rFonts w:hint="eastAsia" w:ascii="仿宋" w:hAnsi="仿宋" w:eastAsia="仿宋"/>
          <w:sz w:val="32"/>
          <w:szCs w:val="32"/>
          <w:lang w:eastAsia="zh-CN"/>
        </w:rPr>
        <w:t>工资福利增加。</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rPr>
        <w:t>（二）一般公共预算当年拨款结构情况</w:t>
      </w:r>
    </w:p>
    <w:p>
      <w:pPr>
        <w:spacing w:line="578" w:lineRule="exact"/>
        <w:ind w:firstLine="640" w:firstLineChars="200"/>
        <w:rPr>
          <w:rFonts w:hint="default" w:ascii="仿宋" w:hAnsi="仿宋" w:eastAsia="仿宋"/>
          <w:sz w:val="32"/>
          <w:szCs w:val="32"/>
          <w:lang w:val="en-US"/>
        </w:rPr>
      </w:pPr>
      <w:r>
        <w:rPr>
          <w:rFonts w:hint="eastAsia" w:ascii="仿宋" w:hAnsi="仿宋" w:eastAsia="仿宋"/>
          <w:sz w:val="32"/>
          <w:szCs w:val="32"/>
        </w:rPr>
        <w:t>一般公共服务支出</w:t>
      </w:r>
      <w:r>
        <w:rPr>
          <w:rFonts w:hint="eastAsia" w:ascii="仿宋" w:hAnsi="仿宋" w:eastAsia="仿宋"/>
          <w:sz w:val="32"/>
          <w:szCs w:val="32"/>
          <w:lang w:val="en-US" w:eastAsia="zh-CN"/>
        </w:rPr>
        <w:t>460.20</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63.22</w:t>
      </w:r>
      <w:r>
        <w:rPr>
          <w:rFonts w:hint="eastAsia" w:ascii="仿宋" w:hAnsi="仿宋" w:eastAsia="仿宋"/>
          <w:sz w:val="32"/>
          <w:szCs w:val="32"/>
        </w:rPr>
        <w:t>万元、卫生健康支出</w:t>
      </w:r>
      <w:r>
        <w:rPr>
          <w:rFonts w:hint="eastAsia" w:ascii="仿宋" w:hAnsi="仿宋" w:eastAsia="仿宋"/>
          <w:sz w:val="32"/>
          <w:szCs w:val="32"/>
          <w:lang w:val="en-US" w:eastAsia="zh-CN"/>
        </w:rPr>
        <w:t>38.12</w:t>
      </w:r>
      <w:r>
        <w:rPr>
          <w:rFonts w:hint="eastAsia" w:ascii="仿宋" w:hAnsi="仿宋" w:eastAsia="仿宋"/>
          <w:sz w:val="32"/>
          <w:szCs w:val="32"/>
        </w:rPr>
        <w:t>万元、住房保障支出</w:t>
      </w:r>
      <w:r>
        <w:rPr>
          <w:rFonts w:hint="eastAsia" w:ascii="仿宋" w:hAnsi="仿宋" w:eastAsia="仿宋"/>
          <w:sz w:val="32"/>
          <w:szCs w:val="32"/>
          <w:lang w:val="en-US" w:eastAsia="zh-CN"/>
        </w:rPr>
        <w:t>43.58</w:t>
      </w:r>
      <w:r>
        <w:rPr>
          <w:rFonts w:hint="eastAsia" w:ascii="仿宋" w:hAnsi="仿宋" w:eastAsia="仿宋"/>
          <w:sz w:val="32"/>
          <w:szCs w:val="32"/>
        </w:rPr>
        <w:t>万元。</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一般公共预算当年拨款具体使用情况</w:t>
      </w:r>
    </w:p>
    <w:p>
      <w:pPr>
        <w:spacing w:line="578"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基本支出总金额为</w:t>
      </w:r>
      <w:r>
        <w:rPr>
          <w:rFonts w:hint="eastAsia" w:ascii="仿宋" w:hAnsi="仿宋" w:eastAsia="仿宋"/>
          <w:sz w:val="32"/>
          <w:szCs w:val="32"/>
          <w:lang w:val="en-US" w:eastAsia="zh-CN"/>
        </w:rPr>
        <w:t>571.11万元，其中工资福利支出530.9万元，用于我委干部职工工资及保险等方面，商品服务支出39.5万元。</w:t>
      </w:r>
    </w:p>
    <w:p>
      <w:pPr>
        <w:spacing w:line="578"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三、2024年度一般公共预算基本支出情况说明</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2024年</w:t>
      </w:r>
      <w:r>
        <w:rPr>
          <w:rFonts w:hint="eastAsia" w:ascii="仿宋" w:hAnsi="仿宋" w:eastAsia="仿宋"/>
          <w:sz w:val="32"/>
          <w:szCs w:val="32"/>
        </w:rPr>
        <w:t xml:space="preserve">一般公共预算基本支出 </w:t>
      </w:r>
      <w:r>
        <w:rPr>
          <w:rFonts w:hint="eastAsia" w:ascii="仿宋" w:hAnsi="仿宋" w:eastAsia="仿宋"/>
          <w:sz w:val="32"/>
          <w:szCs w:val="32"/>
          <w:lang w:val="en-US" w:eastAsia="zh-CN"/>
        </w:rPr>
        <w:t>605.1126</w:t>
      </w:r>
      <w:r>
        <w:rPr>
          <w:rFonts w:hint="eastAsia" w:ascii="仿宋" w:hAnsi="仿宋" w:eastAsia="仿宋"/>
          <w:sz w:val="32"/>
          <w:szCs w:val="32"/>
        </w:rPr>
        <w:t>万元，其中：人员经费</w:t>
      </w:r>
      <w:r>
        <w:rPr>
          <w:rFonts w:hint="eastAsia" w:ascii="仿宋" w:hAnsi="仿宋" w:eastAsia="仿宋"/>
          <w:sz w:val="32"/>
          <w:szCs w:val="32"/>
          <w:lang w:val="en-US" w:eastAsia="zh-CN"/>
        </w:rPr>
        <w:t>531.61</w:t>
      </w:r>
      <w:r>
        <w:rPr>
          <w:rFonts w:hint="eastAsia" w:ascii="仿宋" w:hAnsi="仿宋" w:eastAsia="仿宋"/>
          <w:sz w:val="32"/>
          <w:szCs w:val="32"/>
        </w:rPr>
        <w:t>万元，主要包括（以下内容根据部门具体情况进行填列）：工资性支出（基本工资、津贴补贴、奖金）、机关事业单位养老保险缴费、城镇职工基本医疗保险缴费、公务员医疗补助、其他社会保险缴费（失业保险、工伤保险）、其他工资福利支出（个人取暖费、独生子女费、煤油补贴、加班补助、休假探亲费、乡镇教职工生活补助、特级教师津贴、其他工资福利支出）、职业年金缴费、住房公积金、医疗费、对个人和家庭的补助（抚恤金、生活补助、救济费、医疗费补助、助学金、其他对个人和家庭的补助）、其他对个人和家庭的补助（学生助学金、三包经费、学生奖学金、免费教育经费等、营养改善计划试点资金、班主任津贴、西部计划志愿者生活补助）。</w:t>
      </w:r>
    </w:p>
    <w:p>
      <w:pPr>
        <w:spacing w:line="578"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 xml:space="preserve">公用经费 </w:t>
      </w:r>
      <w:r>
        <w:rPr>
          <w:rFonts w:hint="eastAsia" w:ascii="仿宋" w:hAnsi="仿宋" w:eastAsia="仿宋"/>
          <w:sz w:val="32"/>
          <w:szCs w:val="32"/>
          <w:lang w:val="en-US" w:eastAsia="zh-CN"/>
        </w:rPr>
        <w:t>39.52</w:t>
      </w:r>
      <w:r>
        <w:rPr>
          <w:rFonts w:hint="eastAsia" w:ascii="仿宋" w:hAnsi="仿宋" w:eastAsia="仿宋"/>
          <w:sz w:val="32"/>
          <w:szCs w:val="32"/>
        </w:rPr>
        <w:t>万元，主要包括（以下内容根据部门具体情况进行填列）：商品和服务支出（办公费、印刷费、咨询费、手续费、水费、电费、邮电费、取暖费、物业管理费、差旅费、因公出国(境)费用、维修(护)费、租赁费、会议费、培训费、公务接待费、专用材料费、被装购置费、专用燃料费、劳务费、委托业务费、福利费、公务用车运行维护费、其他交通费用、税金及附加费用、公务通讯补贴、离退休人员公用经费、电梯运行维护费、食堂补助、邮寄费、其他商品和服务支出）、工会经费。</w:t>
      </w:r>
    </w:p>
    <w:p>
      <w:pPr>
        <w:spacing w:line="578"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四、2024年度一般公共预算“三公”经费预算情况说明。</w:t>
      </w:r>
    </w:p>
    <w:p>
      <w:pPr>
        <w:spacing w:line="578"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2024年我委“三公”经费预算19.15万元，我委有1辆公务用车。公务用车运行维护经费主要用于车辆油料和维修方面。</w:t>
      </w:r>
    </w:p>
    <w:p>
      <w:pPr>
        <w:spacing w:line="578"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五、2024年度政府性基金预算支出情况说明</w:t>
      </w:r>
    </w:p>
    <w:p>
      <w:pPr>
        <w:spacing w:line="578"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我</w:t>
      </w:r>
      <w:r>
        <w:rPr>
          <w:rFonts w:hint="eastAsia" w:ascii="仿宋" w:hAnsi="仿宋" w:eastAsia="仿宋"/>
          <w:sz w:val="32"/>
          <w:szCs w:val="32"/>
          <w:lang w:eastAsia="zh-CN"/>
        </w:rPr>
        <w:t>委2024年</w:t>
      </w:r>
      <w:r>
        <w:rPr>
          <w:rFonts w:hint="eastAsia" w:ascii="仿宋" w:hAnsi="仿宋" w:eastAsia="仿宋"/>
          <w:sz w:val="32"/>
          <w:szCs w:val="32"/>
        </w:rPr>
        <w:t>度没有使用政府性基金安排的支出</w:t>
      </w:r>
      <w:r>
        <w:rPr>
          <w:rFonts w:hint="eastAsia" w:ascii="仿宋" w:hAnsi="仿宋" w:eastAsia="仿宋"/>
          <w:sz w:val="32"/>
          <w:szCs w:val="32"/>
          <w:lang w:eastAsia="zh-CN"/>
        </w:rPr>
        <w:t>。</w:t>
      </w:r>
    </w:p>
    <w:p>
      <w:pPr>
        <w:spacing w:line="578"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六、2024年部门收支总表的说明</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2024年</w:t>
      </w:r>
      <w:r>
        <w:rPr>
          <w:rFonts w:hint="eastAsia" w:ascii="仿宋" w:hAnsi="仿宋" w:eastAsia="仿宋"/>
          <w:sz w:val="32"/>
          <w:szCs w:val="32"/>
        </w:rPr>
        <w:t>收支总预算</w:t>
      </w:r>
      <w:r>
        <w:rPr>
          <w:rFonts w:hint="eastAsia" w:ascii="仿宋" w:hAnsi="仿宋" w:eastAsia="仿宋"/>
          <w:sz w:val="32"/>
          <w:szCs w:val="32"/>
          <w:lang w:val="en-US" w:eastAsia="zh-CN"/>
        </w:rPr>
        <w:t>605.1126</w:t>
      </w:r>
      <w:r>
        <w:rPr>
          <w:rFonts w:hint="eastAsia" w:ascii="仿宋" w:hAnsi="仿宋" w:eastAsia="仿宋"/>
          <w:sz w:val="32"/>
          <w:szCs w:val="32"/>
        </w:rPr>
        <w:t>万元。收入包括：一般公共预算拨款收入</w:t>
      </w:r>
      <w:r>
        <w:rPr>
          <w:rFonts w:hint="eastAsia" w:ascii="仿宋" w:hAnsi="仿宋" w:eastAsia="仿宋"/>
          <w:sz w:val="32"/>
          <w:szCs w:val="32"/>
          <w:lang w:val="en-US" w:eastAsia="zh-CN"/>
        </w:rPr>
        <w:t>605.1126万元，</w:t>
      </w:r>
      <w:r>
        <w:rPr>
          <w:rFonts w:hint="eastAsia" w:ascii="仿宋" w:hAnsi="仿宋" w:eastAsia="仿宋"/>
          <w:sz w:val="32"/>
          <w:szCs w:val="32"/>
        </w:rPr>
        <w:t>上年结转</w:t>
      </w:r>
      <w:r>
        <w:rPr>
          <w:rFonts w:hint="eastAsia" w:ascii="仿宋" w:hAnsi="仿宋" w:eastAsia="仿宋"/>
          <w:sz w:val="32"/>
          <w:szCs w:val="32"/>
          <w:lang w:val="en-US" w:eastAsia="zh-CN"/>
        </w:rPr>
        <w:t>0万元</w:t>
      </w:r>
      <w:r>
        <w:rPr>
          <w:rFonts w:hint="eastAsia" w:ascii="仿宋" w:hAnsi="仿宋" w:eastAsia="仿宋"/>
          <w:sz w:val="32"/>
          <w:szCs w:val="32"/>
        </w:rPr>
        <w:t xml:space="preserve">；支出包括：一般公共服务支出 </w:t>
      </w:r>
      <w:r>
        <w:rPr>
          <w:rFonts w:hint="eastAsia" w:ascii="仿宋" w:hAnsi="仿宋" w:eastAsia="仿宋"/>
          <w:sz w:val="32"/>
          <w:szCs w:val="32"/>
          <w:lang w:val="en-US" w:eastAsia="zh-CN"/>
        </w:rPr>
        <w:t>460.2</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63.33</w:t>
      </w:r>
      <w:r>
        <w:rPr>
          <w:rFonts w:hint="eastAsia" w:ascii="仿宋" w:hAnsi="仿宋" w:eastAsia="仿宋"/>
          <w:sz w:val="32"/>
          <w:szCs w:val="32"/>
        </w:rPr>
        <w:t xml:space="preserve"> 万元、卫生健康支出 </w:t>
      </w:r>
      <w:r>
        <w:rPr>
          <w:rFonts w:hint="eastAsia" w:ascii="仿宋" w:hAnsi="仿宋" w:eastAsia="仿宋"/>
          <w:sz w:val="32"/>
          <w:szCs w:val="32"/>
          <w:lang w:val="en-US" w:eastAsia="zh-CN"/>
        </w:rPr>
        <w:t>38.12</w:t>
      </w:r>
      <w:r>
        <w:rPr>
          <w:rFonts w:hint="eastAsia" w:ascii="仿宋" w:hAnsi="仿宋" w:eastAsia="仿宋"/>
          <w:sz w:val="32"/>
          <w:szCs w:val="32"/>
        </w:rPr>
        <w:t xml:space="preserve">万元、住房保障支出 </w:t>
      </w:r>
      <w:r>
        <w:rPr>
          <w:rFonts w:hint="eastAsia" w:ascii="仿宋" w:hAnsi="仿宋" w:eastAsia="仿宋"/>
          <w:sz w:val="32"/>
          <w:szCs w:val="32"/>
          <w:lang w:val="en-US" w:eastAsia="zh-CN"/>
        </w:rPr>
        <w:t>43.58</w:t>
      </w:r>
      <w:r>
        <w:rPr>
          <w:rFonts w:hint="eastAsia" w:ascii="仿宋" w:hAnsi="仿宋" w:eastAsia="仿宋"/>
          <w:sz w:val="32"/>
          <w:szCs w:val="32"/>
        </w:rPr>
        <w:t>万元。</w:t>
      </w:r>
    </w:p>
    <w:p>
      <w:pPr>
        <w:spacing w:line="578"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七、2024年度部门收入总表的说明</w:t>
      </w:r>
    </w:p>
    <w:p>
      <w:pPr>
        <w:spacing w:line="578"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收入预算</w:t>
      </w:r>
      <w:r>
        <w:rPr>
          <w:rFonts w:hint="eastAsia" w:ascii="仿宋" w:hAnsi="仿宋" w:eastAsia="仿宋"/>
          <w:sz w:val="32"/>
          <w:szCs w:val="32"/>
          <w:lang w:val="en-US" w:eastAsia="zh-CN"/>
        </w:rPr>
        <w:t>605.1126</w:t>
      </w:r>
      <w:r>
        <w:rPr>
          <w:rFonts w:hint="eastAsia" w:ascii="仿宋" w:hAnsi="仿宋" w:eastAsia="仿宋"/>
          <w:sz w:val="32"/>
          <w:szCs w:val="32"/>
        </w:rPr>
        <w:t>万元，其中：上年结转</w:t>
      </w:r>
      <w:r>
        <w:rPr>
          <w:rFonts w:hint="eastAsia" w:ascii="仿宋" w:hAnsi="仿宋" w:eastAsia="仿宋"/>
          <w:sz w:val="32"/>
          <w:szCs w:val="32"/>
          <w:lang w:val="en-US" w:eastAsia="zh-CN"/>
        </w:rPr>
        <w:t>0</w:t>
      </w:r>
      <w:r>
        <w:rPr>
          <w:rFonts w:hint="eastAsia" w:ascii="仿宋" w:hAnsi="仿宋" w:eastAsia="仿宋"/>
          <w:sz w:val="32"/>
          <w:szCs w:val="32"/>
        </w:rPr>
        <w:t xml:space="preserve">万元， 占  </w:t>
      </w:r>
      <w:r>
        <w:rPr>
          <w:rFonts w:hint="eastAsia" w:ascii="仿宋" w:hAnsi="仿宋" w:eastAsia="仿宋"/>
          <w:sz w:val="32"/>
          <w:szCs w:val="32"/>
          <w:lang w:val="en-US" w:eastAsia="zh-CN"/>
        </w:rPr>
        <w:t>0%</w:t>
      </w:r>
      <w:r>
        <w:rPr>
          <w:rFonts w:hint="eastAsia" w:ascii="仿宋" w:hAnsi="仿宋" w:eastAsia="仿宋"/>
          <w:sz w:val="32"/>
          <w:szCs w:val="32"/>
        </w:rPr>
        <w:t>；一般公共预算拨款收入</w:t>
      </w:r>
      <w:r>
        <w:rPr>
          <w:rFonts w:hint="eastAsia" w:ascii="仿宋" w:hAnsi="仿宋" w:eastAsia="仿宋"/>
          <w:sz w:val="32"/>
          <w:szCs w:val="32"/>
          <w:lang w:val="en-US" w:eastAsia="zh-CN"/>
        </w:rPr>
        <w:t xml:space="preserve"> 605.1126</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hint="eastAsia" w:ascii="仿宋" w:hAnsi="仿宋" w:eastAsia="仿宋"/>
          <w:sz w:val="32"/>
          <w:szCs w:val="32"/>
        </w:rPr>
        <w:t>%</w:t>
      </w:r>
      <w:r>
        <w:rPr>
          <w:rFonts w:hint="eastAsia" w:ascii="仿宋" w:hAnsi="仿宋" w:eastAsia="仿宋"/>
          <w:sz w:val="32"/>
          <w:szCs w:val="32"/>
          <w:lang w:eastAsia="zh-CN"/>
        </w:rPr>
        <w:t>。</w:t>
      </w:r>
    </w:p>
    <w:p>
      <w:pPr>
        <w:spacing w:line="578"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八、2024年部门支出总表的说明</w:t>
      </w:r>
    </w:p>
    <w:p>
      <w:pPr>
        <w:spacing w:line="578"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2024年</w:t>
      </w:r>
      <w:r>
        <w:rPr>
          <w:rFonts w:hint="eastAsia" w:ascii="仿宋" w:hAnsi="仿宋" w:eastAsia="仿宋"/>
          <w:sz w:val="32"/>
          <w:szCs w:val="32"/>
        </w:rPr>
        <w:t>支出预算</w:t>
      </w:r>
      <w:r>
        <w:rPr>
          <w:rFonts w:hint="eastAsia" w:ascii="仿宋" w:hAnsi="仿宋" w:eastAsia="仿宋"/>
          <w:sz w:val="32"/>
          <w:szCs w:val="32"/>
          <w:lang w:val="en-US" w:eastAsia="zh-CN"/>
        </w:rPr>
        <w:t>605.1126</w:t>
      </w:r>
      <w:r>
        <w:rPr>
          <w:rFonts w:hint="eastAsia" w:ascii="仿宋" w:hAnsi="仿宋" w:eastAsia="仿宋"/>
          <w:sz w:val="32"/>
          <w:szCs w:val="32"/>
        </w:rPr>
        <w:t xml:space="preserve">万元，其中：基本支出 </w:t>
      </w:r>
      <w:r>
        <w:rPr>
          <w:rFonts w:hint="eastAsia" w:ascii="仿宋" w:hAnsi="仿宋" w:eastAsia="仿宋"/>
          <w:sz w:val="32"/>
          <w:szCs w:val="32"/>
          <w:lang w:val="en-US" w:eastAsia="zh-CN"/>
        </w:rPr>
        <w:t>571.1126</w:t>
      </w:r>
      <w:r>
        <w:rPr>
          <w:rFonts w:hint="eastAsia" w:ascii="仿宋" w:hAnsi="仿宋" w:eastAsia="仿宋"/>
          <w:sz w:val="32"/>
          <w:szCs w:val="32"/>
        </w:rPr>
        <w:t>万元，占</w:t>
      </w:r>
      <w:r>
        <w:rPr>
          <w:rFonts w:hint="eastAsia" w:ascii="仿宋" w:hAnsi="仿宋" w:eastAsia="仿宋"/>
          <w:sz w:val="32"/>
          <w:szCs w:val="32"/>
          <w:lang w:val="en-US" w:eastAsia="zh-CN"/>
        </w:rPr>
        <w:t>94</w:t>
      </w:r>
      <w:r>
        <w:rPr>
          <w:rFonts w:hint="eastAsia" w:ascii="仿宋" w:hAnsi="仿宋" w:eastAsia="仿宋"/>
          <w:sz w:val="32"/>
          <w:szCs w:val="32"/>
        </w:rPr>
        <w:t>%；项目支出</w:t>
      </w:r>
      <w:r>
        <w:rPr>
          <w:rFonts w:hint="eastAsia" w:ascii="仿宋" w:hAnsi="仿宋" w:eastAsia="仿宋"/>
          <w:sz w:val="32"/>
          <w:szCs w:val="32"/>
          <w:lang w:val="en-US" w:eastAsia="zh-CN"/>
        </w:rPr>
        <w:t>34</w:t>
      </w:r>
      <w:r>
        <w:rPr>
          <w:rFonts w:hint="eastAsia" w:ascii="仿宋" w:hAnsi="仿宋" w:eastAsia="仿宋"/>
          <w:sz w:val="32"/>
          <w:szCs w:val="32"/>
        </w:rPr>
        <w:t>万元，占</w:t>
      </w:r>
      <w:r>
        <w:rPr>
          <w:rFonts w:hint="eastAsia" w:ascii="仿宋" w:hAnsi="仿宋" w:eastAsia="仿宋"/>
          <w:sz w:val="32"/>
          <w:szCs w:val="32"/>
          <w:lang w:val="en-US" w:eastAsia="zh-CN"/>
        </w:rPr>
        <w:t>6</w:t>
      </w:r>
      <w:r>
        <w:rPr>
          <w:rFonts w:hint="eastAsia" w:ascii="仿宋" w:hAnsi="仿宋" w:eastAsia="仿宋"/>
          <w:sz w:val="32"/>
          <w:szCs w:val="32"/>
        </w:rPr>
        <w:t>%。</w:t>
      </w:r>
    </w:p>
    <w:p>
      <w:pPr>
        <w:spacing w:line="578"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九、其他重要事项的情况说明</w:t>
      </w:r>
    </w:p>
    <w:p>
      <w:pPr>
        <w:spacing w:line="578"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（一）机关运行经费安排使用情况说明</w:t>
      </w:r>
      <w:r>
        <w:rPr>
          <w:rFonts w:hint="eastAsia" w:ascii="仿宋" w:hAnsi="仿宋" w:eastAsia="仿宋"/>
          <w:sz w:val="32"/>
          <w:szCs w:val="32"/>
          <w:lang w:eastAsia="zh-CN"/>
        </w:rPr>
        <w:t>。</w:t>
      </w:r>
    </w:p>
    <w:p>
      <w:pPr>
        <w:spacing w:line="578"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办公费</w:t>
      </w:r>
      <w:r>
        <w:rPr>
          <w:rFonts w:hint="eastAsia" w:ascii="仿宋" w:hAnsi="仿宋" w:eastAsia="仿宋"/>
          <w:sz w:val="32"/>
          <w:szCs w:val="32"/>
          <w:lang w:val="en-US" w:eastAsia="zh-CN"/>
        </w:rPr>
        <w:t>1.98</w:t>
      </w:r>
      <w:r>
        <w:rPr>
          <w:rFonts w:hint="eastAsia" w:ascii="仿宋" w:hAnsi="仿宋" w:eastAsia="仿宋"/>
          <w:sz w:val="32"/>
          <w:szCs w:val="32"/>
          <w:lang w:eastAsia="zh-CN"/>
        </w:rPr>
        <w:t>万元、</w:t>
      </w:r>
      <w:r>
        <w:rPr>
          <w:rFonts w:hint="eastAsia" w:ascii="仿宋" w:hAnsi="仿宋" w:eastAsia="仿宋"/>
          <w:sz w:val="32"/>
          <w:szCs w:val="32"/>
        </w:rPr>
        <w:t>电费</w:t>
      </w:r>
      <w:r>
        <w:rPr>
          <w:rFonts w:hint="eastAsia" w:ascii="仿宋" w:hAnsi="仿宋" w:eastAsia="仿宋"/>
          <w:sz w:val="32"/>
          <w:szCs w:val="32"/>
          <w:lang w:val="en-US" w:eastAsia="zh-CN"/>
        </w:rPr>
        <w:t>3.75</w:t>
      </w:r>
      <w:r>
        <w:rPr>
          <w:rFonts w:hint="eastAsia" w:ascii="仿宋" w:hAnsi="仿宋" w:eastAsia="仿宋"/>
          <w:sz w:val="32"/>
          <w:szCs w:val="32"/>
          <w:lang w:eastAsia="zh-CN"/>
        </w:rPr>
        <w:t>万元、</w:t>
      </w:r>
      <w:r>
        <w:rPr>
          <w:rFonts w:hint="eastAsia" w:ascii="仿宋" w:hAnsi="仿宋" w:eastAsia="仿宋"/>
          <w:sz w:val="32"/>
          <w:szCs w:val="32"/>
        </w:rPr>
        <w:t>邮电费</w:t>
      </w:r>
      <w:r>
        <w:rPr>
          <w:rFonts w:hint="eastAsia" w:ascii="仿宋" w:hAnsi="仿宋" w:eastAsia="仿宋"/>
          <w:sz w:val="32"/>
          <w:szCs w:val="32"/>
          <w:lang w:val="en-US" w:eastAsia="zh-CN"/>
        </w:rPr>
        <w:t>0.6</w:t>
      </w:r>
      <w:r>
        <w:rPr>
          <w:rFonts w:hint="eastAsia" w:ascii="仿宋" w:hAnsi="仿宋" w:eastAsia="仿宋"/>
          <w:sz w:val="32"/>
          <w:szCs w:val="32"/>
          <w:lang w:eastAsia="zh-CN"/>
        </w:rPr>
        <w:t>万元、</w:t>
      </w:r>
      <w:r>
        <w:rPr>
          <w:rFonts w:hint="eastAsia" w:ascii="仿宋" w:hAnsi="仿宋" w:eastAsia="仿宋"/>
          <w:sz w:val="32"/>
          <w:szCs w:val="32"/>
        </w:rPr>
        <w:t>差旅费</w:t>
      </w:r>
      <w:r>
        <w:rPr>
          <w:rFonts w:hint="eastAsia" w:ascii="仿宋" w:hAnsi="仿宋" w:eastAsia="仿宋"/>
          <w:sz w:val="32"/>
          <w:szCs w:val="32"/>
          <w:lang w:val="en-US" w:eastAsia="zh-CN"/>
        </w:rPr>
        <w:t>7.74</w:t>
      </w:r>
      <w:r>
        <w:rPr>
          <w:rFonts w:hint="eastAsia" w:ascii="仿宋" w:hAnsi="仿宋" w:eastAsia="仿宋"/>
          <w:sz w:val="32"/>
          <w:szCs w:val="32"/>
          <w:lang w:eastAsia="zh-CN"/>
        </w:rPr>
        <w:t>万元、</w:t>
      </w:r>
      <w:r>
        <w:rPr>
          <w:rFonts w:hint="eastAsia" w:ascii="仿宋" w:hAnsi="仿宋" w:eastAsia="仿宋"/>
          <w:sz w:val="32"/>
          <w:szCs w:val="32"/>
        </w:rPr>
        <w:t>维修（护）费</w:t>
      </w:r>
      <w:r>
        <w:rPr>
          <w:rFonts w:hint="eastAsia" w:ascii="仿宋" w:hAnsi="仿宋" w:eastAsia="仿宋"/>
          <w:sz w:val="32"/>
          <w:szCs w:val="32"/>
          <w:lang w:val="en-US" w:eastAsia="zh-CN"/>
        </w:rPr>
        <w:t>0.68</w:t>
      </w:r>
      <w:r>
        <w:rPr>
          <w:rFonts w:hint="eastAsia" w:ascii="仿宋" w:hAnsi="仿宋" w:eastAsia="仿宋"/>
          <w:sz w:val="32"/>
          <w:szCs w:val="32"/>
          <w:lang w:eastAsia="zh-CN"/>
        </w:rPr>
        <w:t>万元、</w:t>
      </w:r>
      <w:r>
        <w:rPr>
          <w:rFonts w:hint="eastAsia" w:ascii="仿宋" w:hAnsi="仿宋" w:eastAsia="仿宋"/>
          <w:sz w:val="32"/>
          <w:szCs w:val="32"/>
          <w:lang w:val="en-US" w:eastAsia="zh-CN"/>
        </w:rPr>
        <w:t>印刷费0.27</w:t>
      </w:r>
      <w:r>
        <w:rPr>
          <w:rFonts w:hint="eastAsia" w:ascii="仿宋" w:hAnsi="仿宋" w:eastAsia="仿宋"/>
          <w:sz w:val="32"/>
          <w:szCs w:val="32"/>
          <w:lang w:eastAsia="zh-CN"/>
        </w:rPr>
        <w:t>万元、</w:t>
      </w:r>
      <w:r>
        <w:rPr>
          <w:rFonts w:hint="eastAsia" w:ascii="仿宋" w:hAnsi="仿宋" w:eastAsia="仿宋"/>
          <w:sz w:val="32"/>
          <w:szCs w:val="32"/>
        </w:rPr>
        <w:t>培训费</w:t>
      </w:r>
      <w:r>
        <w:rPr>
          <w:rFonts w:hint="eastAsia" w:ascii="仿宋" w:hAnsi="仿宋" w:eastAsia="仿宋"/>
          <w:sz w:val="32"/>
          <w:szCs w:val="32"/>
          <w:lang w:val="en-US" w:eastAsia="zh-CN"/>
        </w:rPr>
        <w:t>1.88</w:t>
      </w:r>
      <w:r>
        <w:rPr>
          <w:rFonts w:hint="eastAsia" w:ascii="仿宋" w:hAnsi="仿宋" w:eastAsia="仿宋"/>
          <w:sz w:val="32"/>
          <w:szCs w:val="32"/>
          <w:lang w:eastAsia="zh-CN"/>
        </w:rPr>
        <w:t>万元、</w:t>
      </w:r>
      <w:r>
        <w:rPr>
          <w:rFonts w:hint="eastAsia" w:ascii="仿宋" w:hAnsi="仿宋" w:eastAsia="仿宋"/>
          <w:sz w:val="32"/>
          <w:szCs w:val="32"/>
        </w:rPr>
        <w:t>工会经费</w:t>
      </w:r>
      <w:r>
        <w:rPr>
          <w:rFonts w:hint="eastAsia" w:ascii="仿宋" w:hAnsi="仿宋" w:eastAsia="仿宋"/>
          <w:sz w:val="32"/>
          <w:szCs w:val="32"/>
          <w:lang w:val="en-US" w:eastAsia="zh-CN"/>
        </w:rPr>
        <w:t>6.61</w:t>
      </w:r>
      <w:r>
        <w:rPr>
          <w:rFonts w:hint="eastAsia" w:ascii="仿宋" w:hAnsi="仿宋" w:eastAsia="仿宋"/>
          <w:sz w:val="32"/>
          <w:szCs w:val="32"/>
          <w:lang w:eastAsia="zh-CN"/>
        </w:rPr>
        <w:t>万元、</w:t>
      </w:r>
      <w:r>
        <w:rPr>
          <w:rFonts w:hint="eastAsia" w:ascii="仿宋" w:hAnsi="仿宋" w:eastAsia="仿宋"/>
          <w:sz w:val="32"/>
          <w:szCs w:val="32"/>
          <w:lang w:val="en-US" w:eastAsia="zh-CN"/>
        </w:rPr>
        <w:t>取暖费3.42万元、公务接待费0.6万元、</w:t>
      </w:r>
      <w:r>
        <w:rPr>
          <w:rFonts w:hint="eastAsia" w:ascii="仿宋" w:hAnsi="仿宋" w:eastAsia="仿宋"/>
          <w:sz w:val="32"/>
          <w:szCs w:val="32"/>
        </w:rPr>
        <w:t>公务用车运行维护费</w:t>
      </w:r>
      <w:r>
        <w:rPr>
          <w:rFonts w:hint="eastAsia" w:ascii="仿宋" w:hAnsi="仿宋" w:eastAsia="仿宋"/>
          <w:sz w:val="32"/>
          <w:szCs w:val="32"/>
          <w:lang w:val="en-US" w:eastAsia="zh-CN"/>
        </w:rPr>
        <w:t>10.55</w:t>
      </w:r>
      <w:r>
        <w:rPr>
          <w:rFonts w:hint="eastAsia" w:ascii="仿宋" w:hAnsi="仿宋" w:eastAsia="仿宋"/>
          <w:sz w:val="32"/>
          <w:szCs w:val="32"/>
          <w:lang w:eastAsia="zh-CN"/>
        </w:rPr>
        <w:t>万元、</w:t>
      </w:r>
      <w:r>
        <w:rPr>
          <w:rFonts w:hint="eastAsia" w:ascii="仿宋" w:hAnsi="仿宋" w:eastAsia="仿宋"/>
          <w:sz w:val="32"/>
          <w:szCs w:val="32"/>
        </w:rPr>
        <w:t>其他商品和服务支出</w:t>
      </w:r>
      <w:r>
        <w:rPr>
          <w:rFonts w:hint="eastAsia" w:ascii="仿宋" w:hAnsi="仿宋" w:eastAsia="仿宋"/>
          <w:sz w:val="32"/>
          <w:szCs w:val="32"/>
          <w:lang w:val="en-US" w:eastAsia="zh-CN"/>
        </w:rPr>
        <w:t>1.43</w:t>
      </w:r>
      <w:r>
        <w:rPr>
          <w:rFonts w:hint="eastAsia" w:ascii="仿宋" w:hAnsi="仿宋" w:eastAsia="仿宋"/>
          <w:sz w:val="32"/>
          <w:szCs w:val="32"/>
          <w:lang w:eastAsia="zh-CN"/>
        </w:rPr>
        <w:t>万元。</w:t>
      </w:r>
    </w:p>
    <w:p>
      <w:pPr>
        <w:spacing w:line="578"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（二）政府采购情况说明</w:t>
      </w:r>
      <w:r>
        <w:rPr>
          <w:rFonts w:hint="eastAsia" w:ascii="仿宋" w:hAnsi="仿宋" w:eastAsia="仿宋"/>
          <w:sz w:val="32"/>
          <w:szCs w:val="32"/>
          <w:lang w:eastAsia="zh-CN"/>
        </w:rPr>
        <w:t>。</w:t>
      </w:r>
    </w:p>
    <w:p>
      <w:pPr>
        <w:spacing w:line="578"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我委无政府采购相关经费。</w:t>
      </w:r>
    </w:p>
    <w:p>
      <w:pPr>
        <w:spacing w:line="578"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（三）国有资产占有使用情况说明</w:t>
      </w:r>
      <w:r>
        <w:rPr>
          <w:rFonts w:hint="eastAsia" w:ascii="仿宋" w:hAnsi="仿宋" w:eastAsia="仿宋"/>
          <w:sz w:val="32"/>
          <w:szCs w:val="32"/>
          <w:lang w:eastAsia="zh-CN"/>
        </w:rPr>
        <w:t>。</w:t>
      </w:r>
    </w:p>
    <w:p>
      <w:pPr>
        <w:spacing w:line="578"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我委无国有资产相关经费。</w:t>
      </w:r>
    </w:p>
    <w:p>
      <w:pPr>
        <w:spacing w:line="578"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（四）</w:t>
      </w:r>
      <w:r>
        <w:rPr>
          <w:rFonts w:hint="eastAsia" w:ascii="仿宋" w:hAnsi="仿宋" w:eastAsia="仿宋"/>
          <w:sz w:val="32"/>
          <w:szCs w:val="32"/>
          <w:lang w:eastAsia="zh-CN"/>
        </w:rPr>
        <w:t>2024年</w:t>
      </w:r>
      <w:r>
        <w:rPr>
          <w:rFonts w:hint="eastAsia" w:ascii="仿宋" w:hAnsi="仿宋" w:eastAsia="仿宋"/>
          <w:sz w:val="32"/>
          <w:szCs w:val="32"/>
        </w:rPr>
        <w:t>预算绩效目标管理情况</w:t>
      </w:r>
      <w:r>
        <w:rPr>
          <w:rFonts w:hint="eastAsia" w:ascii="仿宋" w:hAnsi="仿宋" w:eastAsia="仿宋"/>
          <w:sz w:val="32"/>
          <w:szCs w:val="32"/>
          <w:lang w:eastAsia="zh-CN"/>
        </w:rPr>
        <w:t>。</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2024年</w:t>
      </w:r>
      <w:r>
        <w:rPr>
          <w:rFonts w:hint="eastAsia" w:ascii="仿宋" w:hAnsi="仿宋" w:eastAsia="仿宋"/>
          <w:sz w:val="32"/>
          <w:szCs w:val="32"/>
        </w:rPr>
        <w:t>绩效情况说明：</w:t>
      </w:r>
      <w:r>
        <w:rPr>
          <w:rFonts w:hint="eastAsia" w:ascii="仿宋" w:hAnsi="仿宋" w:eastAsia="仿宋"/>
          <w:sz w:val="32"/>
          <w:szCs w:val="32"/>
          <w:lang w:eastAsia="zh-CN"/>
        </w:rPr>
        <w:t>我委不涉及项目资金。</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2024年</w:t>
      </w:r>
      <w:r>
        <w:rPr>
          <w:rFonts w:hint="eastAsia" w:ascii="仿宋" w:hAnsi="仿宋" w:eastAsia="仿宋"/>
          <w:sz w:val="32"/>
          <w:szCs w:val="32"/>
        </w:rPr>
        <w:t>重点项目预算绩效目标表（绩效目标表较多的可单独做附件）：</w:t>
      </w:r>
      <w:r>
        <w:rPr>
          <w:rFonts w:hint="eastAsia" w:ascii="仿宋" w:hAnsi="仿宋" w:eastAsia="仿宋"/>
          <w:sz w:val="32"/>
          <w:szCs w:val="32"/>
          <w:lang w:eastAsia="zh-CN"/>
        </w:rPr>
        <w:t>我委不涉及项目资金。</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（五）</w:t>
      </w:r>
      <w:r>
        <w:rPr>
          <w:rFonts w:hint="eastAsia" w:ascii="仿宋" w:hAnsi="仿宋" w:eastAsia="仿宋"/>
          <w:sz w:val="32"/>
          <w:szCs w:val="32"/>
        </w:rPr>
        <w:t>扶贫资金管理使用情况说明及绩效目标表。</w:t>
      </w:r>
    </w:p>
    <w:p>
      <w:pPr>
        <w:spacing w:line="578"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我委不涉及扶贫资金。</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rPr>
        <w:t>（六）政府债务情况（本部门及所属单位使用和管理政府债券资金情况，包括相关政府债券资金总体规模、项目安排）。</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我委无任何政府债务。</w:t>
      </w:r>
    </w:p>
    <w:p>
      <w:pPr>
        <w:spacing w:line="578" w:lineRule="exact"/>
        <w:ind w:firstLine="640" w:firstLineChars="200"/>
        <w:rPr>
          <w:rFonts w:hint="eastAsia" w:ascii="仿宋" w:hAnsi="仿宋" w:eastAsia="仿宋"/>
          <w:sz w:val="32"/>
          <w:szCs w:val="32"/>
        </w:rPr>
      </w:pPr>
    </w:p>
    <w:p>
      <w:pPr>
        <w:spacing w:line="578" w:lineRule="exact"/>
        <w:ind w:firstLine="640" w:firstLineChars="200"/>
        <w:rPr>
          <w:rFonts w:hint="eastAsia" w:ascii="仿宋" w:hAnsi="仿宋" w:eastAsia="仿宋"/>
          <w:sz w:val="32"/>
          <w:szCs w:val="32"/>
        </w:rPr>
      </w:pPr>
    </w:p>
    <w:p>
      <w:pPr>
        <w:spacing w:line="578" w:lineRule="exact"/>
        <w:ind w:firstLine="640" w:firstLineChars="200"/>
        <w:rPr>
          <w:rFonts w:hint="eastAsia" w:ascii="仿宋" w:hAnsi="仿宋" w:eastAsia="仿宋"/>
          <w:sz w:val="32"/>
          <w:szCs w:val="32"/>
        </w:rPr>
      </w:pPr>
    </w:p>
    <w:p>
      <w:pPr>
        <w:spacing w:line="578" w:lineRule="exact"/>
        <w:ind w:firstLine="640" w:firstLineChars="200"/>
        <w:rPr>
          <w:rFonts w:hint="eastAsia" w:ascii="仿宋" w:hAnsi="仿宋" w:eastAsia="仿宋"/>
          <w:sz w:val="32"/>
          <w:szCs w:val="32"/>
        </w:rPr>
      </w:pPr>
    </w:p>
    <w:p>
      <w:pPr>
        <w:spacing w:line="578" w:lineRule="exact"/>
        <w:ind w:firstLine="640" w:firstLineChars="200"/>
        <w:rPr>
          <w:rFonts w:hint="eastAsia" w:ascii="仿宋" w:hAnsi="仿宋" w:eastAsia="仿宋"/>
          <w:sz w:val="32"/>
          <w:szCs w:val="32"/>
        </w:rPr>
      </w:pPr>
    </w:p>
    <w:p>
      <w:pPr>
        <w:spacing w:line="578" w:lineRule="exact"/>
        <w:ind w:firstLine="640" w:firstLineChars="200"/>
        <w:rPr>
          <w:rFonts w:hint="eastAsia" w:ascii="仿宋" w:hAnsi="仿宋" w:eastAsia="仿宋"/>
          <w:sz w:val="32"/>
          <w:szCs w:val="32"/>
        </w:rPr>
      </w:pPr>
    </w:p>
    <w:p>
      <w:pPr>
        <w:spacing w:line="578" w:lineRule="exact"/>
        <w:ind w:firstLine="640" w:firstLineChars="200"/>
        <w:rPr>
          <w:rFonts w:hint="eastAsia" w:ascii="仿宋" w:hAnsi="仿宋" w:eastAsia="仿宋"/>
          <w:sz w:val="32"/>
          <w:szCs w:val="32"/>
        </w:rPr>
      </w:pPr>
    </w:p>
    <w:p>
      <w:pPr>
        <w:spacing w:line="578" w:lineRule="exact"/>
        <w:ind w:firstLine="640" w:firstLineChars="200"/>
        <w:rPr>
          <w:rFonts w:hint="eastAsia" w:ascii="仿宋" w:hAnsi="仿宋" w:eastAsia="仿宋"/>
          <w:sz w:val="32"/>
          <w:szCs w:val="32"/>
        </w:rPr>
      </w:pPr>
    </w:p>
    <w:p>
      <w:pPr>
        <w:spacing w:line="578" w:lineRule="exact"/>
        <w:rPr>
          <w:rFonts w:ascii="仿宋" w:hAnsi="仿宋" w:eastAsia="仿宋"/>
          <w:sz w:val="32"/>
          <w:szCs w:val="32"/>
        </w:rPr>
      </w:pPr>
    </w:p>
    <w:p>
      <w:pPr>
        <w:spacing w:line="578" w:lineRule="exact"/>
        <w:rPr>
          <w:rFonts w:ascii="仿宋" w:hAnsi="仿宋" w:eastAsia="仿宋"/>
          <w:sz w:val="32"/>
          <w:szCs w:val="32"/>
        </w:rPr>
      </w:pPr>
    </w:p>
    <w:p>
      <w:pPr>
        <w:spacing w:line="578" w:lineRule="exact"/>
        <w:rPr>
          <w:rFonts w:ascii="仿宋" w:hAnsi="仿宋" w:eastAsia="仿宋"/>
          <w:sz w:val="32"/>
          <w:szCs w:val="32"/>
        </w:rPr>
      </w:pPr>
    </w:p>
    <w:p>
      <w:pPr>
        <w:rPr>
          <w:rFonts w:hint="eastAsia"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黑体简体">
    <w:altName w:val="微软雅黑"/>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Corbel Light">
    <w:panose1 w:val="020B0303020204020204"/>
    <w:charset w:val="00"/>
    <w:family w:val="auto"/>
    <w:pitch w:val="default"/>
    <w:sig w:usb0="A00002EF" w:usb1="4000A44B" w:usb2="00000000" w:usb3="00000000" w:csb0="2000019F" w:csb1="00000000"/>
  </w:font>
  <w:font w:name="Georgia">
    <w:panose1 w:val="02040502050405020303"/>
    <w:charset w:val="00"/>
    <w:family w:val="auto"/>
    <w:pitch w:val="default"/>
    <w:sig w:usb0="00000287" w:usb1="00000000" w:usb2="00000000" w:usb3="00000000" w:csb0="2000009F" w:csb1="00000000"/>
  </w:font>
  <w:font w:name="Marlett">
    <w:panose1 w:val="00000000000000000000"/>
    <w:charset w:val="00"/>
    <w:family w:val="auto"/>
    <w:pitch w:val="default"/>
    <w:sig w:usb0="00000000" w:usb1="00000000" w:usb2="00000000" w:usb3="00000000" w:csb0="80000000" w:csb1="00000000"/>
  </w:font>
  <w:font w:name="Segoe UI Black">
    <w:panose1 w:val="020B0A02040204020203"/>
    <w:charset w:val="00"/>
    <w:family w:val="auto"/>
    <w:pitch w:val="default"/>
    <w:sig w:usb0="E00002FF" w:usb1="4000E47F" w:usb2="00000021" w:usb3="00000000" w:csb0="2000019F" w:csb1="00000000"/>
  </w:font>
  <w:font w:name="Sitka Banner">
    <w:panose1 w:val="02000505000000020004"/>
    <w:charset w:val="00"/>
    <w:family w:val="auto"/>
    <w:pitch w:val="default"/>
    <w:sig w:usb0="A00002EF" w:usb1="4000204B" w:usb2="00000000" w:usb3="00000000" w:csb0="2000019F"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04F1"/>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11D26C1"/>
    <w:rsid w:val="030E7460"/>
    <w:rsid w:val="15331C01"/>
    <w:rsid w:val="21330AB5"/>
    <w:rsid w:val="2C9961E5"/>
    <w:rsid w:val="2D820F44"/>
    <w:rsid w:val="2E047723"/>
    <w:rsid w:val="2F626234"/>
    <w:rsid w:val="303F51F1"/>
    <w:rsid w:val="33291ECD"/>
    <w:rsid w:val="342E0DF2"/>
    <w:rsid w:val="356147EE"/>
    <w:rsid w:val="3BCC176F"/>
    <w:rsid w:val="3C3F010C"/>
    <w:rsid w:val="3E001ABB"/>
    <w:rsid w:val="42C95C95"/>
    <w:rsid w:val="42D64E2B"/>
    <w:rsid w:val="43760579"/>
    <w:rsid w:val="475719A5"/>
    <w:rsid w:val="4AB22DFF"/>
    <w:rsid w:val="4C9A4E54"/>
    <w:rsid w:val="501B1984"/>
    <w:rsid w:val="56BE628E"/>
    <w:rsid w:val="56FB659C"/>
    <w:rsid w:val="5704408D"/>
    <w:rsid w:val="57EA187A"/>
    <w:rsid w:val="585B4FFB"/>
    <w:rsid w:val="6169514B"/>
    <w:rsid w:val="61C24EDB"/>
    <w:rsid w:val="67AD3FFA"/>
    <w:rsid w:val="67F56D5B"/>
    <w:rsid w:val="6ACF4FAF"/>
    <w:rsid w:val="71760EFB"/>
    <w:rsid w:val="71D93A4C"/>
    <w:rsid w:val="73996BD9"/>
    <w:rsid w:val="781B3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uiPriority w:val="0"/>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 w:type="character" w:customStyle="1" w:styleId="10">
    <w:name w:val="批注框文本 字符"/>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2</TotalTime>
  <ScaleCrop>false</ScaleCrop>
  <LinksUpToDate>false</LinksUpToDate>
  <CharactersWithSpaces>4729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2024-01-31T04:32:59Z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