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仿宋" w:eastAsia="方正小标宋简体"/>
          <w:sz w:val="52"/>
          <w:szCs w:val="52"/>
        </w:rPr>
      </w:pPr>
      <w:r>
        <w:rPr>
          <w:rFonts w:hint="eastAsia" w:ascii="方正小标宋简体" w:hAnsi="仿宋" w:eastAsia="方正小标宋简体"/>
          <w:sz w:val="52"/>
          <w:szCs w:val="52"/>
          <w:lang w:eastAsia="zh-CN"/>
        </w:rPr>
        <w:t>班戈县自然资源局</w:t>
      </w:r>
      <w:r>
        <w:rPr>
          <w:rFonts w:hint="eastAsia" w:ascii="方正小标宋简体" w:hAnsi="仿宋" w:eastAsia="方正小标宋简体"/>
          <w:sz w:val="52"/>
          <w:szCs w:val="52"/>
        </w:rPr>
        <w:t>2024年度</w:t>
      </w:r>
    </w:p>
    <w:p>
      <w:pPr>
        <w:jc w:val="center"/>
        <w:rPr>
          <w:rFonts w:ascii="方正小标宋简体" w:hAnsi="仿宋" w:eastAsia="方正小标宋简体"/>
          <w:sz w:val="52"/>
          <w:szCs w:val="52"/>
        </w:rPr>
      </w:pPr>
      <w:r>
        <w:rPr>
          <w:rFonts w:hint="eastAsia" w:ascii="方正小标宋简体" w:hAnsi="仿宋" w:eastAsia="方正小标宋简体"/>
          <w:sz w:val="52"/>
          <w:szCs w:val="52"/>
        </w:rPr>
        <w:t>部门预算</w:t>
      </w:r>
    </w:p>
    <w:p>
      <w:pPr>
        <w:rPr>
          <w:rFonts w:ascii="仿宋" w:hAnsi="仿宋" w:eastAsia="仿宋"/>
          <w:sz w:val="52"/>
          <w:szCs w:val="5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年</w:t>
      </w:r>
      <w:r>
        <w:rPr>
          <w:rFonts w:hint="eastAsia" w:ascii="仿宋" w:hAnsi="仿宋" w:eastAsia="仿宋"/>
          <w:sz w:val="32"/>
          <w:szCs w:val="32"/>
          <w:lang w:val="en-US" w:eastAsia="zh-CN"/>
        </w:rPr>
        <w:t>1</w:t>
      </w:r>
      <w:r>
        <w:rPr>
          <w:rFonts w:hint="eastAsia" w:ascii="仿宋" w:hAnsi="仿宋" w:eastAsia="仿宋"/>
          <w:sz w:val="32"/>
          <w:szCs w:val="32"/>
        </w:rPr>
        <w:t>月</w:t>
      </w:r>
      <w:r>
        <w:rPr>
          <w:rFonts w:hint="eastAsia" w:ascii="仿宋" w:hAnsi="仿宋" w:eastAsia="仿宋"/>
          <w:sz w:val="32"/>
          <w:szCs w:val="32"/>
          <w:lang w:val="en-US" w:eastAsia="zh-CN"/>
        </w:rPr>
        <w:t>31</w:t>
      </w:r>
      <w:r>
        <w:rPr>
          <w:rFonts w:hint="eastAsia" w:ascii="仿宋" w:hAnsi="仿宋" w:eastAsia="仿宋"/>
          <w:sz w:val="32"/>
          <w:szCs w:val="32"/>
        </w:rPr>
        <w:t>日</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第一部分  XXX（部门/单位）概况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w:t>
      </w:r>
      <w:r>
        <w:rPr>
          <w:rFonts w:hint="eastAsia" w:ascii="方正小标宋简体" w:hAnsi="仿宋" w:eastAsia="方正小标宋简体"/>
          <w:sz w:val="32"/>
          <w:szCs w:val="32"/>
        </w:rPr>
        <w:t>单位</w:t>
      </w:r>
      <w:r>
        <w:rPr>
          <w:rFonts w:hint="eastAsia" w:ascii="黑体" w:hAnsi="黑体" w:eastAsia="黑体"/>
          <w:sz w:val="32"/>
          <w:szCs w:val="32"/>
        </w:rPr>
        <w:t>）机构设置</w:t>
      </w:r>
      <w:r>
        <w:rPr>
          <w:rFonts w:ascii="黑体" w:hAnsi="黑体" w:eastAsia="黑体"/>
          <w:sz w:val="32"/>
          <w:szCs w:val="32"/>
        </w:rPr>
        <w:t>情况</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  XXX（部门/单位）部门（单位）预算明细表</w:t>
      </w:r>
    </w:p>
    <w:p>
      <w:pPr>
        <w:jc w:val="left"/>
        <w:rPr>
          <w:rFonts w:ascii="方正小标宋简体" w:hAnsi="仿宋" w:eastAsia="方正小标宋简体"/>
          <w:sz w:val="32"/>
          <w:szCs w:val="32"/>
        </w:rPr>
      </w:pPr>
      <w:r>
        <w:rPr>
          <w:rFonts w:hint="eastAsia" w:ascii="方正小标宋简体" w:hAnsi="仿宋" w:eastAsia="方正小标宋简体"/>
          <w:sz w:val="32"/>
          <w:szCs w:val="32"/>
        </w:rPr>
        <w:t>第三部分  XXX（部门/单位）部门（单位）预算数据分析</w:t>
      </w:r>
    </w:p>
    <w:p>
      <w:pPr>
        <w:rPr>
          <w:rFonts w:ascii="黑体" w:hAnsi="黑体" w:eastAsia="黑体"/>
          <w:sz w:val="32"/>
          <w:szCs w:val="32"/>
        </w:rPr>
      </w:pPr>
      <w:r>
        <w:rPr>
          <w:rFonts w:hint="eastAsia" w:ascii="黑体" w:hAnsi="黑体" w:eastAsia="黑体"/>
          <w:sz w:val="32"/>
          <w:szCs w:val="32"/>
        </w:rPr>
        <w:t>一、部门/单位收支总体情况</w:t>
      </w:r>
    </w:p>
    <w:p>
      <w:pPr>
        <w:rPr>
          <w:rFonts w:ascii="黑体" w:hAnsi="黑体" w:eastAsia="黑体"/>
          <w:sz w:val="32"/>
          <w:szCs w:val="32"/>
        </w:rPr>
      </w:pPr>
      <w:r>
        <w:rPr>
          <w:rFonts w:hint="eastAsia" w:ascii="黑体" w:hAnsi="黑体" w:eastAsia="黑体"/>
          <w:sz w:val="32"/>
          <w:szCs w:val="32"/>
        </w:rPr>
        <w:t>二、部门/单位收入总体情况</w:t>
      </w:r>
    </w:p>
    <w:p>
      <w:pPr>
        <w:rPr>
          <w:rFonts w:ascii="黑体" w:hAnsi="黑体" w:eastAsia="黑体"/>
          <w:sz w:val="32"/>
          <w:szCs w:val="32"/>
        </w:rPr>
      </w:pPr>
      <w:r>
        <w:rPr>
          <w:rFonts w:hint="eastAsia" w:ascii="黑体" w:hAnsi="黑体" w:eastAsia="黑体"/>
          <w:sz w:val="32"/>
          <w:szCs w:val="32"/>
        </w:rPr>
        <w:t>三、部门/单位支出总体情况</w:t>
      </w:r>
    </w:p>
    <w:p>
      <w:pPr>
        <w:rPr>
          <w:rFonts w:ascii="黑体" w:hAnsi="黑体" w:eastAsia="黑体"/>
          <w:sz w:val="32"/>
          <w:szCs w:val="32"/>
        </w:rPr>
      </w:pPr>
      <w:r>
        <w:rPr>
          <w:rFonts w:hint="eastAsia" w:ascii="黑体" w:hAnsi="黑体" w:eastAsia="黑体"/>
          <w:sz w:val="32"/>
          <w:szCs w:val="32"/>
        </w:rPr>
        <w:t>四、财政拨款收支总体情况</w:t>
      </w:r>
    </w:p>
    <w:p>
      <w:pPr>
        <w:rPr>
          <w:rFonts w:ascii="黑体" w:hAnsi="黑体" w:eastAsia="黑体"/>
          <w:sz w:val="32"/>
          <w:szCs w:val="32"/>
        </w:rPr>
      </w:pPr>
      <w:r>
        <w:rPr>
          <w:rFonts w:hint="eastAsia" w:ascii="黑体" w:hAnsi="黑体" w:eastAsia="黑体"/>
          <w:sz w:val="32"/>
          <w:szCs w:val="32"/>
        </w:rPr>
        <w:t>五、一般公共预算支出总体情况（按功能分类科目）</w:t>
      </w:r>
    </w:p>
    <w:p>
      <w:pPr>
        <w:rPr>
          <w:rFonts w:ascii="黑体" w:hAnsi="黑体" w:eastAsia="黑体"/>
          <w:sz w:val="32"/>
          <w:szCs w:val="32"/>
        </w:rPr>
      </w:pPr>
      <w:r>
        <w:rPr>
          <w:rFonts w:hint="eastAsia" w:ascii="黑体" w:hAnsi="黑体" w:eastAsia="黑体"/>
          <w:sz w:val="32"/>
          <w:szCs w:val="32"/>
        </w:rPr>
        <w:t>六、一般公共预算基本支出总体情况（按经济分类款级科目）</w:t>
      </w:r>
    </w:p>
    <w:p>
      <w:pPr>
        <w:rPr>
          <w:rFonts w:ascii="黑体" w:hAnsi="黑体" w:eastAsia="黑体"/>
          <w:sz w:val="32"/>
          <w:szCs w:val="32"/>
        </w:rPr>
      </w:pPr>
      <w:r>
        <w:rPr>
          <w:rFonts w:hint="eastAsia" w:ascii="黑体" w:hAnsi="黑体" w:eastAsia="黑体"/>
          <w:sz w:val="32"/>
          <w:szCs w:val="32"/>
        </w:rPr>
        <w:t>七、一般公共预算“三公”经费支出总体情况</w:t>
      </w:r>
    </w:p>
    <w:p>
      <w:pPr>
        <w:rPr>
          <w:rFonts w:ascii="黑体" w:hAnsi="黑体" w:eastAsia="黑体"/>
          <w:sz w:val="32"/>
          <w:szCs w:val="32"/>
        </w:rPr>
      </w:pPr>
      <w:r>
        <w:rPr>
          <w:rFonts w:hint="eastAsia" w:ascii="黑体" w:hAnsi="黑体" w:eastAsia="黑体"/>
          <w:sz w:val="32"/>
          <w:szCs w:val="32"/>
        </w:rPr>
        <w:t>八、政府性基金预算支出总体情况</w:t>
      </w:r>
    </w:p>
    <w:p>
      <w:pPr>
        <w:rPr>
          <w:rFonts w:ascii="黑体" w:hAnsi="黑体" w:eastAsia="黑体"/>
          <w:sz w:val="32"/>
          <w:szCs w:val="32"/>
        </w:rPr>
      </w:pPr>
      <w:r>
        <w:rPr>
          <w:rFonts w:hint="eastAsia" w:ascii="黑体" w:hAnsi="黑体" w:eastAsia="黑体"/>
          <w:sz w:val="32"/>
          <w:szCs w:val="32"/>
        </w:rPr>
        <w:t>九、政府性基金“三公”经费支出总体情况</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w:t>
      </w:r>
      <w:r>
        <w:rPr>
          <w:rFonts w:ascii="黑体" w:hAnsi="黑体" w:eastAsia="黑体"/>
          <w:sz w:val="32"/>
          <w:szCs w:val="32"/>
        </w:rPr>
        <w:t>事项情况说明</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jc w:val="both"/>
        <w:rPr>
          <w:rFonts w:ascii="方正小标宋简体" w:hAnsi="仿宋" w:eastAsia="方正小标宋简体"/>
          <w:sz w:val="32"/>
          <w:szCs w:val="32"/>
        </w:rPr>
      </w:pPr>
    </w:p>
    <w:p>
      <w:pPr>
        <w:jc w:val="center"/>
        <w:rPr>
          <w:rFonts w:hint="eastAsia" w:ascii="方正小标宋简体" w:hAnsi="仿宋" w:eastAsia="方正小标宋简体"/>
          <w:sz w:val="32"/>
          <w:szCs w:val="32"/>
          <w:highlight w:val="none"/>
        </w:rPr>
      </w:pPr>
    </w:p>
    <w:p>
      <w:pPr>
        <w:jc w:val="center"/>
        <w:rPr>
          <w:rFonts w:ascii="方正小标宋简体" w:hAnsi="仿宋" w:eastAsia="方正小标宋简体"/>
          <w:sz w:val="32"/>
          <w:szCs w:val="32"/>
          <w:highlight w:val="none"/>
        </w:rPr>
      </w:pPr>
      <w:r>
        <w:rPr>
          <w:rFonts w:hint="eastAsia" w:ascii="方正小标宋简体" w:hAnsi="仿宋" w:eastAsia="方正小标宋简体"/>
          <w:sz w:val="32"/>
          <w:szCs w:val="32"/>
          <w:highlight w:val="none"/>
        </w:rPr>
        <w:t>第一部分</w:t>
      </w:r>
    </w:p>
    <w:p>
      <w:pPr>
        <w:jc w:val="center"/>
        <w:rPr>
          <w:rFonts w:ascii="方正小标宋简体" w:hAnsi="仿宋" w:eastAsia="方正小标宋简体"/>
          <w:sz w:val="32"/>
          <w:szCs w:val="32"/>
          <w:highlight w:val="none"/>
        </w:rPr>
      </w:pPr>
    </w:p>
    <w:p>
      <w:pPr>
        <w:jc w:val="center"/>
        <w:rPr>
          <w:rFonts w:ascii="仿宋" w:hAnsi="仿宋" w:eastAsia="仿宋"/>
          <w:sz w:val="32"/>
          <w:szCs w:val="32"/>
          <w:highlight w:val="none"/>
        </w:rPr>
      </w:pPr>
      <w:r>
        <w:rPr>
          <w:rFonts w:hint="eastAsia" w:ascii="方正小标宋简体" w:hAnsi="仿宋" w:eastAsia="方正小标宋简体"/>
          <w:sz w:val="32"/>
          <w:szCs w:val="32"/>
          <w:highlight w:val="none"/>
          <w:lang w:eastAsia="zh-CN"/>
        </w:rPr>
        <w:t>自然资源局</w:t>
      </w:r>
      <w:r>
        <w:rPr>
          <w:rFonts w:hint="eastAsia" w:ascii="方正小标宋简体" w:hAnsi="仿宋" w:eastAsia="方正小标宋简体"/>
          <w:sz w:val="32"/>
          <w:szCs w:val="32"/>
          <w:highlight w:val="none"/>
        </w:rPr>
        <w:t>概况</w:t>
      </w:r>
    </w:p>
    <w:p>
      <w:pPr>
        <w:keepNext w:val="0"/>
        <w:keepLines w:val="0"/>
        <w:pageBreakBefore w:val="0"/>
        <w:widowControl w:val="0"/>
        <w:numPr>
          <w:ilvl w:val="0"/>
          <w:numId w:val="1"/>
        </w:numPr>
        <w:kinsoku/>
        <w:wordWrap/>
        <w:overflowPunct/>
        <w:topLinePunct w:val="0"/>
        <w:autoSpaceDE/>
        <w:autoSpaceDN/>
        <w:bidi w:val="0"/>
        <w:adjustRightInd/>
        <w:snapToGrid/>
        <w:ind w:firstLine="627" w:firstLineChars="196"/>
        <w:textAlignment w:val="auto"/>
        <w:rPr>
          <w:rFonts w:ascii="黑体" w:hAnsi="宋体" w:eastAsia="黑体"/>
          <w:b w:val="0"/>
          <w:bCs/>
          <w:sz w:val="32"/>
          <w:szCs w:val="32"/>
          <w:highlight w:val="none"/>
        </w:rPr>
      </w:pPr>
      <w:r>
        <w:rPr>
          <w:rFonts w:hint="eastAsia" w:ascii="黑体" w:hAnsi="宋体" w:eastAsia="黑体"/>
          <w:b w:val="0"/>
          <w:bCs/>
          <w:sz w:val="32"/>
          <w:szCs w:val="32"/>
          <w:highlight w:val="none"/>
        </w:rPr>
        <w:t>部门预算</w:t>
      </w:r>
      <w:r>
        <w:rPr>
          <w:rFonts w:ascii="黑体" w:hAnsi="宋体" w:eastAsia="黑体"/>
          <w:b w:val="0"/>
          <w:bCs/>
          <w:sz w:val="32"/>
          <w:szCs w:val="32"/>
          <w:highlight w:val="none"/>
        </w:rPr>
        <w:t>单位构成</w:t>
      </w:r>
    </w:p>
    <w:p>
      <w:pPr>
        <w:keepNext w:val="0"/>
        <w:keepLines w:val="0"/>
        <w:pageBreakBefore w:val="0"/>
        <w:widowControl w:val="0"/>
        <w:kinsoku/>
        <w:wordWrap/>
        <w:overflowPunct/>
        <w:topLinePunct w:val="0"/>
        <w:autoSpaceDE/>
        <w:autoSpaceDN/>
        <w:bidi w:val="0"/>
        <w:adjustRightInd/>
        <w:snapToGrid/>
        <w:ind w:firstLine="627" w:firstLineChars="196"/>
        <w:textAlignment w:val="auto"/>
        <w:rPr>
          <w:rFonts w:hint="eastAsia" w:ascii="黑体" w:hAnsi="宋体" w:eastAsia="黑体"/>
          <w:b w:val="0"/>
          <w:bCs/>
          <w:sz w:val="32"/>
          <w:szCs w:val="32"/>
          <w:highlight w:val="none"/>
        </w:rPr>
      </w:pPr>
      <w:r>
        <w:rPr>
          <w:rFonts w:hint="eastAsia" w:ascii="仿宋_GB2312" w:eastAsia="仿宋_GB2312"/>
          <w:b w:val="0"/>
          <w:bCs/>
          <w:sz w:val="32"/>
          <w:szCs w:val="32"/>
          <w:highlight w:val="none"/>
          <w:lang w:eastAsia="zh-CN"/>
        </w:rPr>
        <w:t>本单位由一个一</w:t>
      </w:r>
      <w:r>
        <w:rPr>
          <w:rFonts w:ascii="仿宋_GB2312" w:eastAsia="仿宋_GB2312"/>
          <w:b w:val="0"/>
          <w:bCs/>
          <w:sz w:val="32"/>
          <w:szCs w:val="32"/>
          <w:highlight w:val="none"/>
        </w:rPr>
        <w:t>级预算部门</w:t>
      </w:r>
      <w:r>
        <w:rPr>
          <w:rFonts w:hint="eastAsia" w:ascii="仿宋_GB2312" w:eastAsia="仿宋_GB2312"/>
          <w:b w:val="0"/>
          <w:bCs/>
          <w:sz w:val="32"/>
          <w:szCs w:val="32"/>
          <w:highlight w:val="none"/>
        </w:rPr>
        <w:t>构成</w:t>
      </w:r>
      <w:r>
        <w:rPr>
          <w:rFonts w:ascii="仿宋_GB2312" w:eastAsia="仿宋_GB2312"/>
          <w:b w:val="0"/>
          <w:bCs/>
          <w:sz w:val="32"/>
          <w:szCs w:val="32"/>
          <w:highlight w:val="none"/>
        </w:rPr>
        <w:t>。</w:t>
      </w:r>
    </w:p>
    <w:p>
      <w:pPr>
        <w:keepNext w:val="0"/>
        <w:keepLines w:val="0"/>
        <w:pageBreakBefore w:val="0"/>
        <w:widowControl w:val="0"/>
        <w:kinsoku/>
        <w:wordWrap/>
        <w:overflowPunct/>
        <w:topLinePunct w:val="0"/>
        <w:autoSpaceDE/>
        <w:autoSpaceDN/>
        <w:bidi w:val="0"/>
        <w:adjustRightInd/>
        <w:snapToGrid/>
        <w:ind w:firstLine="627" w:firstLineChars="196"/>
        <w:textAlignment w:val="auto"/>
        <w:rPr>
          <w:rFonts w:hint="eastAsia" w:ascii="黑体" w:hAnsi="宋体" w:eastAsia="黑体"/>
          <w:b w:val="0"/>
          <w:bCs/>
          <w:sz w:val="32"/>
          <w:szCs w:val="32"/>
          <w:highlight w:val="none"/>
        </w:rPr>
      </w:pPr>
      <w:r>
        <w:rPr>
          <w:rFonts w:hint="eastAsia" w:ascii="黑体" w:hAnsi="宋体" w:eastAsia="黑体"/>
          <w:b w:val="0"/>
          <w:bCs/>
          <w:sz w:val="32"/>
          <w:szCs w:val="32"/>
          <w:highlight w:val="none"/>
        </w:rPr>
        <w:t>二、部门</w:t>
      </w:r>
      <w:r>
        <w:rPr>
          <w:rFonts w:ascii="黑体" w:hAnsi="宋体" w:eastAsia="黑体"/>
          <w:b w:val="0"/>
          <w:bCs/>
          <w:sz w:val="32"/>
          <w:szCs w:val="32"/>
          <w:highlight w:val="none"/>
        </w:rPr>
        <w:t>职责和</w:t>
      </w:r>
      <w:r>
        <w:rPr>
          <w:rFonts w:hint="eastAsia" w:ascii="黑体" w:hAnsi="宋体" w:eastAsia="黑体"/>
          <w:b w:val="0"/>
          <w:bCs/>
          <w:sz w:val="32"/>
          <w:szCs w:val="32"/>
          <w:highlight w:val="none"/>
        </w:rPr>
        <w:t>机构设置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（一）部门职责。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b/>
          <w:bCs/>
          <w:sz w:val="32"/>
          <w:szCs w:val="32"/>
          <w:highlight w:val="none"/>
        </w:rPr>
        <w:t xml:space="preserve">第一条 </w:t>
      </w:r>
      <w:r>
        <w:rPr>
          <w:rFonts w:hint="eastAsia" w:ascii="方正仿宋简体" w:hAnsi="方正仿宋简体" w:eastAsia="方正仿宋简体" w:cs="方正仿宋简体"/>
          <w:sz w:val="32"/>
          <w:szCs w:val="32"/>
          <w:highlight w:val="none"/>
        </w:rPr>
        <w:t xml:space="preserve"> 根据党中央、自治区党委和市委关于深化地方党政机构改革的工作要求，按照《关于那曲市机构改革的实施意见》和《班戈县机构改革方案》，制定本规定。</w:t>
      </w:r>
    </w:p>
    <w:p>
      <w:pPr>
        <w:spacing w:line="600" w:lineRule="exact"/>
        <w:ind w:firstLine="643" w:firstLineChars="200"/>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b/>
          <w:bCs/>
          <w:sz w:val="32"/>
          <w:szCs w:val="32"/>
          <w:highlight w:val="none"/>
        </w:rPr>
        <w:t xml:space="preserve">第二条 </w:t>
      </w:r>
      <w:r>
        <w:rPr>
          <w:rFonts w:hint="eastAsia" w:ascii="方正仿宋简体" w:hAnsi="方正仿宋简体" w:eastAsia="方正仿宋简体" w:cs="方正仿宋简体"/>
          <w:sz w:val="32"/>
          <w:szCs w:val="32"/>
          <w:highlight w:val="none"/>
        </w:rPr>
        <w:t xml:space="preserve"> 班戈县自然资源局是县政府工作部门，为正科级，加挂县林业和草原局、县自然保护区管理局牌子。</w:t>
      </w:r>
    </w:p>
    <w:p>
      <w:pPr>
        <w:spacing w:line="600" w:lineRule="exact"/>
        <w:ind w:firstLine="643" w:firstLineChars="200"/>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b/>
          <w:bCs/>
          <w:sz w:val="32"/>
          <w:szCs w:val="32"/>
          <w:highlight w:val="none"/>
        </w:rPr>
        <w:t>第三条</w:t>
      </w:r>
      <w:r>
        <w:rPr>
          <w:rFonts w:hint="eastAsia" w:ascii="方正仿宋简体" w:hAnsi="方正仿宋简体" w:eastAsia="方正仿宋简体" w:cs="方正仿宋简体"/>
          <w:sz w:val="32"/>
          <w:szCs w:val="32"/>
          <w:highlight w:val="none"/>
        </w:rPr>
        <w:t xml:space="preserve">  县自然资源局贯彻落实党中央关于自然资源、林业和草原工作的方针政策和自治区党委、市委、县委的决策部署，在履行职责过程中坚持和加强县委对自然资源、林业和草原工作的统一领导。主要职责是：</w:t>
      </w:r>
    </w:p>
    <w:p>
      <w:pPr>
        <w:spacing w:line="600" w:lineRule="exact"/>
        <w:ind w:firstLine="640" w:firstLineChars="200"/>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一）履行全民所有土地、矿产、森林、草原、湿地、水等自然资源资产所有者职责和所有国土空间用途管制职责。根据国家自然资源法律、法规，参与起草自然资源方面的地方性法规草案和政府规章草案。拟订地方自然资源管理的技术标准、规程、规范和办法并监督实施。</w:t>
      </w:r>
    </w:p>
    <w:p>
      <w:pPr>
        <w:spacing w:line="600" w:lineRule="exact"/>
        <w:ind w:firstLine="640" w:firstLineChars="200"/>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二）负责自然资源调查监测评价。根据国家自然资源调查监测评价指标体系和统计标准，建立全县统一规范的自然资源调查监测评价制度。实施自然资源基础调查、专项调查和监测。负责自然资源调查监测评价成果的监督管理和信息发布。</w:t>
      </w:r>
    </w:p>
    <w:p>
      <w:pPr>
        <w:spacing w:line="600" w:lineRule="exact"/>
        <w:ind w:firstLine="640" w:firstLineChars="200"/>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三）负责自然资源统一确权登记工作。贯彻执行国家各类自然资源和不动产统一确权登记、权籍调查、不动产测绘、争议调处、成果应用的政策、标准、规范。建立健全全县自然资源和不动产登记信息管理基础平台。负责自然资源和不动产登记资料收集、整理、共享、汇交管理等。指导监督全县自然资源和不动产确权登记工作。</w:t>
      </w:r>
    </w:p>
    <w:p>
      <w:pPr>
        <w:spacing w:line="600" w:lineRule="exact"/>
        <w:ind w:firstLine="640" w:firstLineChars="200"/>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四）负责自然资源资产有偿使用工作。建立全民所有自然资源资产统计制度，负责全民所有自然资源资产核算。编制全民所有自然资源资产负债表，拟订考核标准。贯彻实施全民所有自然资源资产划拨、出让、租赁、作价出资和土地储备政策，合理配置全民所有自然资源资产。负责自然资源资产价值评估管理，依法收缴相关资产收益。</w:t>
      </w:r>
    </w:p>
    <w:p>
      <w:pPr>
        <w:spacing w:line="600" w:lineRule="exact"/>
        <w:ind w:firstLine="640" w:firstLineChars="200"/>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五）负责自然资源的合理开发利用。组织拟订全县自然资源发展规划和战略，根据国家标准和地方实际，制定自然资源开发利用标准并组织实施，建立政府公示自然资源价格体系，组织开展自然资源分等定级价格评估和自然资源利用评价考核，指导节约集约利用。负责自然资源市场监管。组织研究全县自然资源管理涉及宏观调控、区域协调和城乡统筹的政策措施。</w:t>
      </w:r>
    </w:p>
    <w:p>
      <w:pPr>
        <w:spacing w:line="600" w:lineRule="exact"/>
        <w:ind w:firstLine="640" w:firstLineChars="200"/>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六）负责建立空间规划体系并组织实施。实施国家主体功能区战略和制度，组织编制并监督实施国土空间规划和相关专项规划。开展国土空间开发适宜性评价，建立国土空间规划实施监测、评估和预警体系。组织划定生态保护红线、永久基本农田、城镇开发边界等控制线，构建节约资源和保护环境的生产、生活、生态空间布局。严格执行国土空间用途管制制度，研究拟订地方城乡规划政策并监督实施，组织拟订并实施土地等自然资源年度利用计划。负责土地等国土空间用途转用工作。负责土地征收征用管理。</w:t>
      </w:r>
    </w:p>
    <w:p>
      <w:pPr>
        <w:spacing w:line="600" w:lineRule="exact"/>
        <w:ind w:firstLine="640" w:firstLineChars="200"/>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七）负责统筹国土空间生态修复。牵头组织编制全县国土空间生态修复规划并实施有关生态修复重大工程。负责全县国土空间综合整治、土地整理复垦、矿山地质环境恢复治理等工作。牵头建立全县生态保护补偿制度并组织实施，制定合理利用社会资金进行生态修复的政策措施，提出重大备选项目。</w:t>
      </w:r>
    </w:p>
    <w:p>
      <w:pPr>
        <w:spacing w:line="600" w:lineRule="exact"/>
        <w:ind w:firstLine="640" w:firstLineChars="200"/>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八）负责组织实施最严格的耕地保护制度。贯彻执行国家和自治区关于耕地保护的法律法规及政策，负责耕地数量、质量、生态保护。组织实施耕地保护责任目标考核和永久基本农田特殊保护。完善耕地占补平衡制度，监督占用耕地补偿制度执行情况。</w:t>
      </w:r>
    </w:p>
    <w:p>
      <w:pPr>
        <w:spacing w:line="600" w:lineRule="exact"/>
        <w:ind w:firstLine="640" w:firstLineChars="200"/>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九）负责管理地质勘查行业和地质工作。管理地质勘查项目，协助实施重大地质矿产物勘查专项。负责地质灾害预防和治理，监督管理地下水过量开采及引发的地面沉降等地质问题。负责古生物化石的监督管理。</w:t>
      </w:r>
    </w:p>
    <w:p>
      <w:pPr>
        <w:spacing w:line="600" w:lineRule="exact"/>
        <w:ind w:firstLine="640" w:firstLineChars="200"/>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十）负责落实自治区综合防灾减灾规划相关要求，组织编制地质灾害防治规划和防护标准并指导实施。组织指导协调和监督地质灾害调查评价及隐患的普查、详查、排查。指导开展地质灾害群测群防、预报预警等工作，组织实施地质灾害工程治理。承担地质灾害应急救援的技术支撑工作。</w:t>
      </w:r>
    </w:p>
    <w:p>
      <w:pPr>
        <w:spacing w:line="600" w:lineRule="exact"/>
        <w:ind w:firstLine="640" w:firstLineChars="200"/>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十一）负责矿产资源管理工作。负责全县矿产资源储量管理及压覆矿产资源审批。负责矿业权管理。会同有关部门承担保护性开采的特定矿种，优势矿产的开采总量控制及相关管理工作。监督指导矿产资源合理利用和保护。</w:t>
      </w:r>
    </w:p>
    <w:p>
      <w:pPr>
        <w:spacing w:line="600" w:lineRule="exact"/>
        <w:ind w:firstLine="640" w:firstLineChars="200"/>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（十二）负责测绘地理信息管理工作。负责全县基础测绘和测绘行业管理。监督管理国家地理信息安全和市场秩序。负责地理信息公共服务管理。负责测量标志保护。</w:t>
      </w:r>
    </w:p>
    <w:p>
      <w:pPr>
        <w:spacing w:line="600" w:lineRule="exact"/>
        <w:ind w:firstLine="640" w:firstLineChars="200"/>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十三）推动自然资源领域科技发展和开展对外交流合作。制定并实施自然资源领域科技创新发展和人才培养战略、规划和计划。执行有关技术标准、规程规范，组织实施全县重大科技工程及创新能力建设，推进自然资源信息化和信息资料的公共服务。</w:t>
      </w:r>
    </w:p>
    <w:p>
      <w:pPr>
        <w:spacing w:line="600" w:lineRule="exact"/>
        <w:ind w:firstLine="640" w:firstLineChars="200"/>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（十四）查处自然资源开发利用、国土空间规划及测绘等重大违法案件。指导协调自然资源违法案件调查处理工作。组织开展自然资源执法检查。指导自然资源行政执法工作。</w:t>
      </w:r>
    </w:p>
    <w:p>
      <w:pPr>
        <w:spacing w:line="600" w:lineRule="exact"/>
        <w:ind w:firstLine="640" w:firstLineChars="200"/>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十五）负责林业和草原及其生态保护修复的监督管理。拟订全县林业和草原及其生态保护修复的政策、规划、标准并组织实施。参与起草相关地方性法规和政府规章草案。组织开展森林、草原、湿地、荒漠和陆生野生动植物资源动态监测与评价。</w:t>
      </w:r>
    </w:p>
    <w:p>
      <w:pPr>
        <w:spacing w:line="600" w:lineRule="exact"/>
        <w:ind w:firstLine="640" w:firstLineChars="200"/>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十六）组织林业和草原生态保护修复和造林绿化工作。组织实施林业和草原重点生态保护修复工程，指导公益林和商品林的培育，指导、监督全民义务植树、城乡绿化工作。负责林业和草原有害生物防治、检疫工作。承担林业和草原应对气候变化的相关工作。</w:t>
      </w:r>
    </w:p>
    <w:p>
      <w:pPr>
        <w:spacing w:line="600" w:lineRule="exact"/>
        <w:ind w:firstLine="640" w:firstLineChars="200"/>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 xml:space="preserve">（十七）负责森林、草原、湿地资源的监督管理。组织编制并监督执行全县森林采伐限额。负责林地管理，拟订林地保护利用规划并组织实施，组织开展公益林划定和管理工作。负责草原禁牧、草畜平衡和草原生态修复治理工作，监督管理草原的开发利用。负责湿地生态保护修复工作，拟订地方湿地保护规划和相关标准，监督管理湿地的开发利用。    </w:t>
      </w:r>
    </w:p>
    <w:p>
      <w:pPr>
        <w:spacing w:line="600" w:lineRule="exact"/>
        <w:ind w:firstLine="640" w:firstLineChars="200"/>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 xml:space="preserve">（十八）负责监督管理荒漠化防治工作。组织开展荒漠调查，组织拟订地方防沙治沙及沙化土地封禁保护区建设规划和相关标准，监督管理沙化土地的开发利用。    </w:t>
      </w:r>
    </w:p>
    <w:p>
      <w:pPr>
        <w:spacing w:line="600" w:lineRule="exact"/>
        <w:ind w:firstLine="640" w:firstLineChars="200"/>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十九）负责陆生野生动植物资源监督管理。组织开展陆生野生动植物资源调查，指导陆生野生动植物的救护繁育、栖息地恢复发展、疫源疫病监测，监督管理陆生野生动植物猎捕或采集、驯养繁殖或培植、经营利用，按照分工监督管理野生动植物进出口。指导城市规划区内生物多样性工作。</w:t>
      </w:r>
    </w:p>
    <w:p>
      <w:pPr>
        <w:spacing w:line="600" w:lineRule="exact"/>
        <w:ind w:firstLine="640" w:firstLineChars="200"/>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 xml:space="preserve">（二十）负责监督管理各类自然保护地。拟订各类自然保护地规划和相关标准。负责国家公园的自然资源资产管理和国土空间用途管制。组织各类自然保护地评审工作，提出新建、调整各类自然保护地的审核建议并按程序报批。组织开展世界自然遗产的申报，会同有关部门开展世界自然与文化双重遗产的申报。负责对本地区重点风景名胜区及其规划的审查报批和保护监督工作，负责生物多样性保护相关工作。    </w:t>
      </w:r>
    </w:p>
    <w:p>
      <w:pPr>
        <w:spacing w:line="600" w:lineRule="exact"/>
        <w:ind w:firstLine="640" w:firstLineChars="200"/>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 xml:space="preserve">（二十一）负责推进林业和草原改革相关工作。拟订集体林权制度、国有林场、草原等重大改革意见并监督实施。拟订农村林业发展、维护林业经营者合法权益的政策措施，指导集体林地承包经营工作。开展退耕（牧）还林还草，负责天然林保护工作。    </w:t>
      </w:r>
    </w:p>
    <w:p>
      <w:pPr>
        <w:spacing w:line="600" w:lineRule="exact"/>
        <w:ind w:firstLine="640" w:firstLineChars="200"/>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 xml:space="preserve">（二十二）落实林业和草原资源优化配置及木材利用政策，执行相关林业产业国家标准，执行相关林业产业地方标准。组织、指导林产品质量监督，指导生态扶贫相关工作。   </w:t>
      </w:r>
    </w:p>
    <w:p>
      <w:pPr>
        <w:spacing w:line="600" w:lineRule="exact"/>
        <w:ind w:firstLine="640" w:firstLineChars="200"/>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 xml:space="preserve">（二十三）组织林木种子、草种种质资源普查，组织建立种质资源库，负责林木良种选育推广，管理林木种苗生产经营行为，监管林木种苗质量。监督管理林业和草原生物种质资源、转基因生物安全、植物新品种保护。    </w:t>
      </w:r>
    </w:p>
    <w:p>
      <w:pPr>
        <w:spacing w:line="600" w:lineRule="exact"/>
        <w:ind w:firstLine="640" w:firstLineChars="200"/>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 xml:space="preserve">（二十四）指导全县森林公安工作，监督管理森林公安队伍，指导全县林业重大违法案件的查处，负责相关行政执法监管工作。    </w:t>
      </w:r>
    </w:p>
    <w:p>
      <w:pPr>
        <w:spacing w:line="600" w:lineRule="exact"/>
        <w:ind w:firstLine="640" w:firstLineChars="200"/>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二十五）负责落实综合防灾减灾规划相关要求，组织编制地方森林和草原火灾防治规划并指导实施，指导开展防火巡护、火源管理、防火设施建设等工作。组织指导林区和草原开展宣传教育、监测预警、督促检查等防火工作。必要时，可以提请县应急管理局，以县应急指挥机构名义，部署相关防治工作。</w:t>
      </w:r>
    </w:p>
    <w:p>
      <w:pPr>
        <w:spacing w:line="600" w:lineRule="exact"/>
        <w:ind w:firstLine="640" w:firstLineChars="200"/>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 xml:space="preserve">（二十六）监督管理林业和草原中央投资、自治区级资金和市县级资金及国有资产，提出全县林业和草原预算内投资、国家财政性资金安排建议，按照县政府规定权限，审核规划内和年度计划内投资项目。参与拟订林业和草原经济调节政策。组织实施林业和草原生态补偿工作。   </w:t>
      </w:r>
    </w:p>
    <w:p>
      <w:pPr>
        <w:spacing w:line="600" w:lineRule="exact"/>
        <w:ind w:firstLine="640" w:firstLineChars="200"/>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（二十七）负责林业和草原科技、教育工作，指导全县林业和草原人才队伍建设，组织实施林业和草原技术交流与合作，承担湿地、防治荒漠化、濒危野生动植物等相关国际公约履约的具体工作。</w:t>
      </w:r>
    </w:p>
    <w:p>
      <w:pPr>
        <w:spacing w:line="600" w:lineRule="exact"/>
        <w:ind w:firstLine="640" w:firstLineChars="200"/>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（二十八）负责本行业领域安全生产监管和应急处置工作。</w:t>
      </w:r>
    </w:p>
    <w:p>
      <w:pPr>
        <w:spacing w:line="600" w:lineRule="exact"/>
        <w:ind w:firstLine="640" w:firstLineChars="200"/>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（二十九）完成县委、县政府交办的其他任务。</w:t>
      </w:r>
    </w:p>
    <w:p>
      <w:pPr>
        <w:spacing w:line="600" w:lineRule="exact"/>
        <w:ind w:firstLine="640" w:firstLineChars="200"/>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三十）职能转变。县自然资源局要落实国家、自治区和市关于统一行使全民所有自然资源资产所有者职责，统一行使所有国土空间用途管制和生态保护修复职责的要求，发挥国土空间规划管控作用，为保护和合理开发利用自然资源提供科学指引。进一步加强自然资源的保护和合理开发利用，建立健全源头保护和全过程修复治理相结合的工作机制，实现整体保护、系统修复、综合治理。创新激励约束并举的制度措施，推进自然资源节约集约利用。进一步精简下放有关行政审批事项、强化监管力度，充分发挥市场对资源配置的决定性作用，更好发挥政府作用，强化自然资源管理规则、标准、制度的约束性作用，推进自然资源确权登记和评估的便民高效。要切实加大生态系统保护力度，实施重要生态系统保护和修复工程，加强森林、草原、湿地监督管理的统筹协调，大力推进国土绿化，保障国家生态安全。加快建立以国家公园为主体的自然保护地体系，统一推进各类自然保护地的清理规范和归并整合，为构建统一规范高效的中国特色国家公园体制贡献力量。</w:t>
      </w:r>
    </w:p>
    <w:p>
      <w:pPr>
        <w:spacing w:line="600" w:lineRule="exact"/>
        <w:ind w:firstLine="640" w:firstLineChars="200"/>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（三十一）有关职责分工。</w:t>
      </w:r>
    </w:p>
    <w:p>
      <w:pPr>
        <w:spacing w:line="600" w:lineRule="exact"/>
        <w:ind w:firstLine="640" w:firstLineChars="200"/>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1</w:t>
      </w:r>
      <w:r>
        <w:rPr>
          <w:rFonts w:hint="eastAsia" w:ascii="方正仿宋简体" w:hAnsi="方正仿宋简体" w:eastAsia="方正仿宋简体" w:cs="方正仿宋简体"/>
          <w:sz w:val="32"/>
          <w:szCs w:val="32"/>
          <w:highlight w:val="none"/>
          <w:lang w:eastAsia="zh-CN"/>
        </w:rPr>
        <w:t>、</w:t>
      </w:r>
      <w:r>
        <w:rPr>
          <w:rFonts w:hint="eastAsia" w:ascii="方正仿宋简体" w:hAnsi="方正仿宋简体" w:eastAsia="方正仿宋简体" w:cs="方正仿宋简体"/>
          <w:sz w:val="32"/>
          <w:szCs w:val="32"/>
          <w:highlight w:val="none"/>
        </w:rPr>
        <w:t xml:space="preserve">与县应急管理局的有关职责分工。县自然资源局负责组织编制地质灾害防治规划和防护标准并指导实施，组织指导协调和监督地质灾害调查评价及隐患的普查、详查、排查。指导开展群测群防、专业监测和预警预报，指导开展地质灾害工程治理，承担地质灾害应急救援的技术支撑工作。负责落实综合防灾减灾规划相关工作，组织编制森林和草原火灾防治规划和相关防护标准并指导实施，指导开展防火巡护、火源管理、防火设施建设等工作，组织指导林场林区和草原开展防火宣传教育、监测预警、督促检查等工作。必要时，可以提请县应急管理局，以县应急指挥机构名义部署相关防治工作。县应急管理局承担全县应对重大灾害指挥部工作，负责组织编制全县总体应急预案和安全生产类、自然灾害类、地质灾害类专项预案，指导自然灾害类、地质灾害类应急救援，组织开展预案演练，组织协调重大、特别重大灾害应急救援工作。负责组织编制综合防灾减灾规划，指导协调森林和草原火灾防治工作。负责建立森林和草原火情监测预警工作机制，发布森林和草原火险、火灾信息。县应急管理局会同县自然资源局等有关部门建立统一的应急管理信息平台，建立监测预警和灾情报告制度，健全自然灾害信息资源获取和共享机制，依法统一发布灾情。 </w:t>
      </w:r>
    </w:p>
    <w:p>
      <w:pPr>
        <w:spacing w:line="600" w:lineRule="exact"/>
        <w:ind w:firstLine="640" w:firstLineChars="200"/>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2</w:t>
      </w:r>
      <w:r>
        <w:rPr>
          <w:rFonts w:hint="eastAsia" w:ascii="方正仿宋简体" w:hAnsi="方正仿宋简体" w:eastAsia="方正仿宋简体" w:cs="方正仿宋简体"/>
          <w:sz w:val="32"/>
          <w:szCs w:val="32"/>
          <w:highlight w:val="none"/>
          <w:lang w:eastAsia="zh-CN"/>
        </w:rPr>
        <w:t>、</w:t>
      </w:r>
      <w:r>
        <w:rPr>
          <w:rFonts w:hint="eastAsia" w:ascii="方正仿宋简体" w:hAnsi="方正仿宋简体" w:eastAsia="方正仿宋简体" w:cs="方正仿宋简体"/>
          <w:sz w:val="32"/>
          <w:szCs w:val="32"/>
          <w:highlight w:val="none"/>
        </w:rPr>
        <w:t xml:space="preserve">与市生态环境局班戈县分局的有关职责分工。县自然资源局负责提供地下水监测数据，负责监督管理地下水过量开采引起的地面沉降等地质问题，负责自然保护地的管理工作。市生态环境局班戈县分局负责监督防止地下水污染工作，负责组织制定各类自然保护地生态环境监管制度并监督执法。    </w:t>
      </w:r>
    </w:p>
    <w:p>
      <w:pPr>
        <w:spacing w:line="600" w:lineRule="exact"/>
        <w:ind w:firstLine="640" w:firstLineChars="200"/>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3</w:t>
      </w:r>
      <w:r>
        <w:rPr>
          <w:rFonts w:hint="eastAsia" w:ascii="方正仿宋简体" w:hAnsi="方正仿宋简体" w:eastAsia="方正仿宋简体" w:cs="方正仿宋简体"/>
          <w:sz w:val="32"/>
          <w:szCs w:val="32"/>
          <w:highlight w:val="none"/>
          <w:lang w:eastAsia="zh-CN"/>
        </w:rPr>
        <w:t>、</w:t>
      </w:r>
      <w:r>
        <w:rPr>
          <w:rFonts w:hint="eastAsia" w:ascii="方正仿宋简体" w:hAnsi="方正仿宋简体" w:eastAsia="方正仿宋简体" w:cs="方正仿宋简体"/>
          <w:sz w:val="32"/>
          <w:szCs w:val="32"/>
          <w:highlight w:val="none"/>
        </w:rPr>
        <w:t xml:space="preserve">与县农业农村局的有关职责分工。县自然资源局负责草原资源调查、草场承包确权登记、农村宅基地确权登记，负责草原保护和利用的监督管理工作。县农业农村局负责农村宅基地管理、农村集体耕地承包经营权确权登记管理工作，负责指导农村土地承包经营纠纷仲裁和农村宅基地分配使用流转及纠纷仲裁管理工作，负责拟订草产业发展政策、草产业技术政策并组织实施，负责指导饲草业发展，指导草种繁育及质量监督管理工作。两部门加强协调配合和工作衔接，促进草原保护与草畜平衡、草原畜牧业有机衔接、协同发展。    </w:t>
      </w:r>
    </w:p>
    <w:p>
      <w:pPr>
        <w:spacing w:line="600" w:lineRule="exact"/>
        <w:ind w:firstLine="640" w:firstLineChars="200"/>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4</w:t>
      </w:r>
      <w:r>
        <w:rPr>
          <w:rFonts w:hint="eastAsia" w:ascii="方正仿宋简体" w:hAnsi="方正仿宋简体" w:eastAsia="方正仿宋简体" w:cs="方正仿宋简体"/>
          <w:sz w:val="32"/>
          <w:szCs w:val="32"/>
          <w:highlight w:val="none"/>
          <w:lang w:eastAsia="zh-CN"/>
        </w:rPr>
        <w:t>、</w:t>
      </w:r>
      <w:r>
        <w:rPr>
          <w:rFonts w:hint="eastAsia" w:ascii="方正仿宋简体" w:hAnsi="方正仿宋简体" w:eastAsia="方正仿宋简体" w:cs="方正仿宋简体"/>
          <w:sz w:val="32"/>
          <w:szCs w:val="32"/>
          <w:highlight w:val="none"/>
        </w:rPr>
        <w:t>与县水利局的有关职责分工。县自然资源局负责水资源调查和确权登记管理。县水利局负责保障水资源的合理开发利用，实施水资源的统一监督管理，按规定组织开展水资源、水能资源调查评价和水资源承载能力监测预警工作。</w:t>
      </w:r>
    </w:p>
    <w:p>
      <w:pPr>
        <w:spacing w:line="600" w:lineRule="exact"/>
        <w:ind w:firstLine="643" w:firstLineChars="200"/>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b/>
          <w:bCs/>
          <w:sz w:val="32"/>
          <w:szCs w:val="32"/>
          <w:highlight w:val="none"/>
        </w:rPr>
        <w:t xml:space="preserve">第四条 </w:t>
      </w:r>
      <w:r>
        <w:rPr>
          <w:rFonts w:hint="eastAsia" w:ascii="方正仿宋简体" w:hAnsi="方正仿宋简体" w:eastAsia="方正仿宋简体" w:cs="方正仿宋简体"/>
          <w:sz w:val="32"/>
          <w:szCs w:val="32"/>
          <w:highlight w:val="none"/>
        </w:rPr>
        <w:t xml:space="preserve"> 县自然资源局机关行政编制</w:t>
      </w:r>
      <w:r>
        <w:rPr>
          <w:rFonts w:hint="eastAsia" w:ascii="方正仿宋简体" w:hAnsi="方正仿宋简体" w:eastAsia="方正仿宋简体" w:cs="方正仿宋简体"/>
          <w:sz w:val="32"/>
          <w:szCs w:val="32"/>
          <w:highlight w:val="none"/>
          <w:lang w:val="en-US" w:eastAsia="zh-CN"/>
        </w:rPr>
        <w:t>4</w:t>
      </w:r>
      <w:r>
        <w:rPr>
          <w:rFonts w:hint="eastAsia" w:ascii="方正仿宋简体" w:hAnsi="方正仿宋简体" w:eastAsia="方正仿宋简体" w:cs="方正仿宋简体"/>
          <w:sz w:val="32"/>
          <w:szCs w:val="32"/>
          <w:highlight w:val="none"/>
        </w:rPr>
        <w:t>名，领导职数4名（正科级1名，副科级3名）。</w:t>
      </w:r>
    </w:p>
    <w:p>
      <w:pPr>
        <w:ind w:firstLine="640" w:firstLineChars="200"/>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sz w:val="32"/>
          <w:szCs w:val="32"/>
          <w:highlight w:val="none"/>
        </w:rPr>
        <w:t>（二）部门机构设置。</w:t>
      </w:r>
    </w:p>
    <w:p>
      <w:pPr>
        <w:ind w:firstLine="803"/>
        <w:rPr>
          <w:rFonts w:hint="eastAsia" w:ascii="方正仿宋简体" w:hAnsi="方正仿宋简体" w:eastAsia="方正仿宋简体" w:cs="方正仿宋简体"/>
          <w:sz w:val="32"/>
          <w:szCs w:val="32"/>
          <w:highlight w:val="none"/>
        </w:rPr>
      </w:pPr>
      <w:r>
        <w:rPr>
          <w:rFonts w:hint="eastAsia" w:ascii="方正仿宋简体" w:hAnsi="方正仿宋简体" w:eastAsia="方正仿宋简体" w:cs="方正仿宋简体"/>
          <w:color w:val="38322A"/>
          <w:kern w:val="0"/>
          <w:sz w:val="32"/>
          <w:szCs w:val="32"/>
          <w:highlight w:val="none"/>
          <w:shd w:val="clear" w:color="auto" w:fill="auto"/>
          <w:lang w:val="en-US" w:eastAsia="zh-CN" w:bidi="ar"/>
        </w:rPr>
        <w:t>班戈县自然资源局</w:t>
      </w:r>
      <w:r>
        <w:rPr>
          <w:rFonts w:hint="eastAsia" w:ascii="方正仿宋简体" w:hAnsi="方正仿宋简体" w:eastAsia="方正仿宋简体" w:cs="方正仿宋简体"/>
          <w:b w:val="0"/>
          <w:bCs w:val="0"/>
          <w:sz w:val="32"/>
          <w:szCs w:val="32"/>
          <w:highlight w:val="none"/>
          <w:lang w:eastAsia="zh-CN"/>
        </w:rPr>
        <w:t>内设综合办公室和不动产登记中心</w:t>
      </w:r>
      <w:r>
        <w:rPr>
          <w:rFonts w:hint="eastAsia" w:ascii="方正仿宋简体" w:hAnsi="方正仿宋简体" w:eastAsia="方正仿宋简体" w:cs="方正仿宋简体"/>
          <w:bCs/>
          <w:sz w:val="32"/>
          <w:szCs w:val="32"/>
          <w:highlight w:val="none"/>
          <w:lang w:eastAsia="zh-CN"/>
        </w:rPr>
        <w:t>。</w:t>
      </w:r>
    </w:p>
    <w:p>
      <w:pPr>
        <w:rPr>
          <w:rFonts w:ascii="仿宋" w:hAnsi="仿宋" w:eastAsia="仿宋"/>
          <w:sz w:val="32"/>
          <w:szCs w:val="32"/>
          <w:highlight w:val="none"/>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hint="eastAsia" w:ascii="方正小标宋简体" w:hAnsi="仿宋" w:eastAsia="方正小标宋简体"/>
          <w:sz w:val="32"/>
          <w:szCs w:val="32"/>
          <w:highlight w:val="none"/>
        </w:rPr>
      </w:pPr>
    </w:p>
    <w:p>
      <w:pPr>
        <w:jc w:val="center"/>
        <w:rPr>
          <w:rFonts w:hint="eastAsia" w:ascii="方正小标宋简体" w:hAnsi="仿宋" w:eastAsia="方正小标宋简体"/>
          <w:sz w:val="32"/>
          <w:szCs w:val="32"/>
          <w:highlight w:val="none"/>
        </w:rPr>
      </w:pPr>
    </w:p>
    <w:p>
      <w:pPr>
        <w:jc w:val="center"/>
        <w:rPr>
          <w:rFonts w:ascii="方正小标宋简体" w:hAnsi="仿宋" w:eastAsia="方正小标宋简体"/>
          <w:sz w:val="32"/>
          <w:szCs w:val="32"/>
          <w:highlight w:val="none"/>
        </w:rPr>
      </w:pPr>
      <w:r>
        <w:rPr>
          <w:rFonts w:hint="eastAsia" w:ascii="方正小标宋简体" w:hAnsi="仿宋" w:eastAsia="方正小标宋简体"/>
          <w:sz w:val="32"/>
          <w:szCs w:val="32"/>
          <w:highlight w:val="none"/>
        </w:rPr>
        <w:t>第二部分</w:t>
      </w:r>
    </w:p>
    <w:p>
      <w:pPr>
        <w:jc w:val="center"/>
        <w:rPr>
          <w:rFonts w:ascii="方正小标宋简体" w:hAnsi="仿宋" w:eastAsia="方正小标宋简体"/>
          <w:sz w:val="32"/>
          <w:szCs w:val="32"/>
          <w:highlight w:val="none"/>
        </w:rPr>
      </w:pPr>
    </w:p>
    <w:p>
      <w:pPr>
        <w:jc w:val="center"/>
        <w:rPr>
          <w:rFonts w:ascii="方正小标宋简体" w:hAnsi="仿宋" w:eastAsia="方正小标宋简体"/>
          <w:sz w:val="32"/>
          <w:szCs w:val="32"/>
          <w:highlight w:val="none"/>
        </w:rPr>
      </w:pPr>
      <w:r>
        <w:rPr>
          <w:rFonts w:hint="eastAsia" w:ascii="方正小标宋简体" w:hAnsi="仿宋" w:eastAsia="方正小标宋简体"/>
          <w:sz w:val="32"/>
          <w:szCs w:val="32"/>
          <w:highlight w:val="none"/>
          <w:lang w:eastAsia="zh-CN"/>
        </w:rPr>
        <w:t>自然资源局</w:t>
      </w:r>
      <w:r>
        <w:rPr>
          <w:rFonts w:hint="eastAsia" w:ascii="方正小标宋简体" w:hAnsi="仿宋" w:eastAsia="方正小标宋简体"/>
          <w:sz w:val="32"/>
          <w:szCs w:val="32"/>
          <w:highlight w:val="none"/>
        </w:rPr>
        <w:t>（部门）</w:t>
      </w:r>
      <w:r>
        <w:rPr>
          <w:rFonts w:hint="eastAsia" w:ascii="方正小标宋简体" w:hAnsi="仿宋" w:eastAsia="方正小标宋简体"/>
          <w:sz w:val="32"/>
          <w:szCs w:val="32"/>
          <w:highlight w:val="none"/>
          <w:lang w:eastAsia="zh-CN"/>
        </w:rPr>
        <w:t>202</w:t>
      </w:r>
      <w:r>
        <w:rPr>
          <w:rFonts w:hint="eastAsia" w:ascii="方正小标宋简体" w:hAnsi="仿宋" w:eastAsia="方正小标宋简体"/>
          <w:sz w:val="32"/>
          <w:szCs w:val="32"/>
          <w:highlight w:val="none"/>
          <w:lang w:val="en-US" w:eastAsia="zh-CN"/>
        </w:rPr>
        <w:t>4</w:t>
      </w:r>
      <w:r>
        <w:rPr>
          <w:rFonts w:hint="eastAsia" w:ascii="方正小标宋简体" w:hAnsi="仿宋" w:eastAsia="方正小标宋简体"/>
          <w:sz w:val="32"/>
          <w:szCs w:val="32"/>
          <w:highlight w:val="none"/>
        </w:rPr>
        <w:t>年度预算明细表</w:t>
      </w:r>
    </w:p>
    <w:p>
      <w:pPr>
        <w:jc w:val="center"/>
        <w:rPr>
          <w:rFonts w:ascii="方正小标宋简体" w:hAnsi="仿宋" w:eastAsia="方正小标宋简体"/>
          <w:sz w:val="32"/>
          <w:szCs w:val="32"/>
          <w:highlight w:val="none"/>
        </w:rPr>
      </w:pPr>
      <w:r>
        <w:rPr>
          <w:rFonts w:hint="eastAsia" w:ascii="方正小标宋简体" w:hAnsi="仿宋" w:eastAsia="方正小标宋简体"/>
          <w:sz w:val="32"/>
          <w:szCs w:val="32"/>
          <w:highlight w:val="none"/>
        </w:rPr>
        <w:t>（表格详见附件）</w:t>
      </w:r>
    </w:p>
    <w:p>
      <w:pPr>
        <w:jc w:val="both"/>
        <w:rPr>
          <w:rFonts w:hint="eastAsia" w:ascii="方正小标宋简体" w:hAnsi="仿宋" w:eastAsia="方正小标宋简体"/>
          <w:sz w:val="32"/>
          <w:szCs w:val="32"/>
          <w:highlight w:val="none"/>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hint="eastAsia"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highlight w:val="none"/>
        </w:rPr>
      </w:pPr>
      <w:r>
        <w:rPr>
          <w:rFonts w:hint="eastAsia" w:ascii="方正小标宋简体" w:hAnsi="仿宋" w:eastAsia="方正小标宋简体"/>
          <w:sz w:val="32"/>
          <w:szCs w:val="32"/>
          <w:highlight w:val="none"/>
          <w:lang w:eastAsia="zh-CN"/>
        </w:rPr>
        <w:t>自然资源局</w:t>
      </w:r>
      <w:r>
        <w:rPr>
          <w:rFonts w:hint="eastAsia" w:ascii="方正小标宋简体" w:hAnsi="仿宋" w:eastAsia="方正小标宋简体"/>
          <w:sz w:val="32"/>
          <w:szCs w:val="32"/>
          <w:highlight w:val="none"/>
        </w:rPr>
        <w:t>（部门）</w:t>
      </w:r>
      <w:r>
        <w:rPr>
          <w:rFonts w:hint="eastAsia" w:ascii="方正小标宋简体" w:hAnsi="仿宋" w:eastAsia="方正小标宋简体"/>
          <w:sz w:val="32"/>
          <w:szCs w:val="32"/>
          <w:highlight w:val="none"/>
          <w:lang w:eastAsia="zh-CN"/>
        </w:rPr>
        <w:t>202</w:t>
      </w:r>
      <w:r>
        <w:rPr>
          <w:rFonts w:hint="eastAsia" w:ascii="方正小标宋简体" w:hAnsi="仿宋" w:eastAsia="方正小标宋简体"/>
          <w:sz w:val="32"/>
          <w:szCs w:val="32"/>
          <w:highlight w:val="none"/>
          <w:lang w:val="en-US" w:eastAsia="zh-CN"/>
        </w:rPr>
        <w:t>4</w:t>
      </w:r>
      <w:r>
        <w:rPr>
          <w:rFonts w:hint="eastAsia" w:ascii="方正小标宋简体" w:hAnsi="仿宋" w:eastAsia="方正小标宋简体"/>
          <w:sz w:val="32"/>
          <w:szCs w:val="32"/>
          <w:highlight w:val="none"/>
        </w:rPr>
        <w:t>年度部门预算数据分析</w:t>
      </w:r>
    </w:p>
    <w:p>
      <w:pPr>
        <w:jc w:val="cente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val="en-US" w:eastAsia="zh-CN"/>
        </w:rPr>
        <w:t>2024年</w:t>
      </w:r>
      <w:r>
        <w:rPr>
          <w:rFonts w:hint="eastAsia" w:ascii="黑体" w:hAnsi="黑体" w:eastAsia="黑体"/>
          <w:sz w:val="32"/>
          <w:szCs w:val="32"/>
        </w:rPr>
        <w:t>部门收支总体情况</w:t>
      </w:r>
    </w:p>
    <w:p>
      <w:pPr>
        <w:ind w:firstLine="640" w:firstLineChars="200"/>
        <w:rPr>
          <w:rFonts w:ascii="仿宋" w:hAnsi="仿宋" w:eastAsia="仿宋"/>
          <w:sz w:val="32"/>
          <w:szCs w:val="32"/>
        </w:rPr>
      </w:pPr>
      <w:r>
        <w:rPr>
          <w:rFonts w:hint="eastAsia" w:ascii="仿宋" w:hAnsi="仿宋" w:eastAsia="仿宋"/>
          <w:sz w:val="32"/>
          <w:szCs w:val="32"/>
          <w:lang w:val="en-US" w:eastAsia="zh-CN"/>
        </w:rPr>
        <w:t>2024年</w:t>
      </w:r>
      <w:r>
        <w:rPr>
          <w:rFonts w:hint="eastAsia" w:ascii="仿宋" w:hAnsi="仿宋" w:eastAsia="仿宋"/>
          <w:sz w:val="32"/>
          <w:szCs w:val="32"/>
        </w:rPr>
        <w:t>收支总预算</w:t>
      </w:r>
      <w:r>
        <w:rPr>
          <w:rFonts w:hint="eastAsia" w:ascii="仿宋" w:hAnsi="仿宋" w:eastAsia="仿宋"/>
          <w:sz w:val="32"/>
          <w:szCs w:val="32"/>
          <w:u w:val="single"/>
        </w:rPr>
        <w:t>2,548.43</w:t>
      </w:r>
      <w:r>
        <w:rPr>
          <w:rFonts w:hint="eastAsia" w:ascii="仿宋" w:hAnsi="仿宋" w:eastAsia="仿宋"/>
          <w:sz w:val="32"/>
          <w:szCs w:val="32"/>
        </w:rPr>
        <w:t>万元。收入包括：一般公共预算拨款收入</w:t>
      </w:r>
      <w:r>
        <w:rPr>
          <w:rFonts w:hint="eastAsia" w:ascii="仿宋" w:hAnsi="仿宋" w:eastAsia="仿宋"/>
          <w:sz w:val="32"/>
          <w:szCs w:val="32"/>
          <w:u w:val="single"/>
        </w:rPr>
        <w:t>2116.05</w:t>
      </w:r>
      <w:r>
        <w:rPr>
          <w:rFonts w:hint="eastAsia" w:ascii="仿宋" w:hAnsi="仿宋" w:eastAsia="仿宋"/>
          <w:sz w:val="32"/>
          <w:szCs w:val="32"/>
          <w:u w:val="none"/>
          <w:lang w:eastAsia="zh-CN"/>
        </w:rPr>
        <w:t>万元</w:t>
      </w:r>
      <w:r>
        <w:rPr>
          <w:rFonts w:hint="eastAsia" w:ascii="仿宋" w:hAnsi="仿宋" w:eastAsia="仿宋"/>
          <w:sz w:val="32"/>
          <w:szCs w:val="32"/>
        </w:rPr>
        <w:t>、上年结转</w:t>
      </w:r>
      <w:r>
        <w:rPr>
          <w:rFonts w:hint="eastAsia" w:ascii="仿宋" w:hAnsi="仿宋" w:eastAsia="仿宋"/>
          <w:sz w:val="32"/>
          <w:szCs w:val="32"/>
          <w:u w:val="single"/>
        </w:rPr>
        <w:t>432.38</w:t>
      </w:r>
      <w:r>
        <w:rPr>
          <w:rFonts w:hint="eastAsia" w:ascii="仿宋" w:hAnsi="仿宋" w:eastAsia="仿宋"/>
          <w:sz w:val="32"/>
          <w:szCs w:val="32"/>
          <w:u w:val="single"/>
          <w:lang w:eastAsia="zh-CN"/>
        </w:rPr>
        <w:t>万元</w:t>
      </w:r>
      <w:r>
        <w:rPr>
          <w:rFonts w:hint="eastAsia" w:ascii="仿宋" w:hAnsi="仿宋" w:eastAsia="仿宋"/>
          <w:sz w:val="32"/>
          <w:szCs w:val="32"/>
          <w:u w:val="none"/>
          <w:lang w:eastAsia="zh-CN"/>
        </w:rPr>
        <w:t>；</w:t>
      </w:r>
      <w:r>
        <w:rPr>
          <w:rFonts w:hint="eastAsia" w:ascii="仿宋" w:hAnsi="仿宋" w:eastAsia="仿宋"/>
          <w:sz w:val="32"/>
          <w:szCs w:val="32"/>
        </w:rPr>
        <w:t>支出包括：社会保障和就业支出</w:t>
      </w:r>
      <w:r>
        <w:rPr>
          <w:rFonts w:hint="eastAsia" w:ascii="仿宋" w:hAnsi="仿宋" w:eastAsia="仿宋"/>
          <w:sz w:val="32"/>
          <w:szCs w:val="32"/>
          <w:u w:val="single"/>
        </w:rPr>
        <w:t>69.31</w:t>
      </w:r>
      <w:r>
        <w:rPr>
          <w:rFonts w:hint="eastAsia" w:ascii="仿宋" w:hAnsi="仿宋" w:eastAsia="仿宋"/>
          <w:sz w:val="32"/>
          <w:szCs w:val="32"/>
          <w:lang w:eastAsia="zh-CN"/>
        </w:rPr>
        <w:t>万元</w:t>
      </w:r>
      <w:r>
        <w:rPr>
          <w:rFonts w:hint="eastAsia" w:ascii="仿宋" w:hAnsi="仿宋" w:eastAsia="仿宋"/>
          <w:sz w:val="32"/>
          <w:szCs w:val="32"/>
        </w:rPr>
        <w:t>、卫生健康支出</w:t>
      </w:r>
      <w:r>
        <w:rPr>
          <w:rFonts w:hint="eastAsia" w:ascii="仿宋" w:hAnsi="仿宋" w:eastAsia="仿宋"/>
          <w:sz w:val="32"/>
          <w:szCs w:val="32"/>
          <w:u w:val="single"/>
        </w:rPr>
        <w:t>41.03</w:t>
      </w:r>
      <w:r>
        <w:rPr>
          <w:rFonts w:hint="eastAsia" w:ascii="仿宋" w:hAnsi="仿宋" w:eastAsia="仿宋"/>
          <w:sz w:val="32"/>
          <w:szCs w:val="32"/>
          <w:lang w:eastAsia="zh-CN"/>
        </w:rPr>
        <w:t>万元</w:t>
      </w:r>
      <w:r>
        <w:rPr>
          <w:rFonts w:hint="eastAsia" w:ascii="仿宋" w:hAnsi="仿宋" w:eastAsia="仿宋"/>
          <w:sz w:val="32"/>
          <w:szCs w:val="32"/>
        </w:rPr>
        <w:t>、 城乡社区支出</w:t>
      </w:r>
      <w:r>
        <w:rPr>
          <w:rFonts w:hint="eastAsia" w:ascii="仿宋" w:hAnsi="仿宋" w:eastAsia="仿宋"/>
          <w:sz w:val="32"/>
          <w:szCs w:val="32"/>
          <w:u w:val="single"/>
          <w:lang w:val="en-US" w:eastAsia="zh-CN"/>
        </w:rPr>
        <w:t>8.58</w:t>
      </w:r>
      <w:r>
        <w:rPr>
          <w:rFonts w:hint="eastAsia" w:ascii="仿宋" w:hAnsi="仿宋" w:eastAsia="仿宋"/>
          <w:sz w:val="32"/>
          <w:szCs w:val="32"/>
          <w:lang w:val="en-US" w:eastAsia="zh-CN"/>
        </w:rPr>
        <w:t>万元、</w:t>
      </w:r>
      <w:r>
        <w:rPr>
          <w:rFonts w:hint="default" w:ascii="Times New Roman" w:hAnsi="Times New Roman" w:eastAsia="仿宋" w:cs="Times New Roman"/>
          <w:sz w:val="32"/>
          <w:szCs w:val="32"/>
          <w:highlight w:val="none"/>
        </w:rPr>
        <w:t>节能环保支出</w:t>
      </w:r>
      <w:r>
        <w:rPr>
          <w:rFonts w:hint="default" w:ascii="Times New Roman" w:hAnsi="Times New Roman" w:eastAsia="仿宋" w:cs="Times New Roman"/>
          <w:sz w:val="32"/>
          <w:szCs w:val="32"/>
          <w:highlight w:val="none"/>
          <w:u w:val="single"/>
        </w:rPr>
        <w:t>1,131.72</w:t>
      </w:r>
      <w:r>
        <w:rPr>
          <w:rFonts w:hint="default" w:ascii="Times New Roman" w:hAnsi="Times New Roman" w:eastAsia="仿宋" w:cs="Times New Roman"/>
          <w:sz w:val="32"/>
          <w:szCs w:val="32"/>
          <w:highlight w:val="none"/>
          <w:u w:val="none"/>
          <w:lang w:val="en-US" w:eastAsia="zh-CN"/>
        </w:rPr>
        <w:t>万元</w:t>
      </w:r>
      <w:r>
        <w:rPr>
          <w:rFonts w:hint="default" w:ascii="Times New Roman" w:hAnsi="Times New Roman" w:eastAsia="仿宋" w:cs="Times New Roman"/>
          <w:sz w:val="32"/>
          <w:szCs w:val="32"/>
          <w:highlight w:val="none"/>
        </w:rPr>
        <w:t>、农林水支出</w:t>
      </w:r>
      <w:r>
        <w:rPr>
          <w:rFonts w:hint="default" w:ascii="Times New Roman" w:hAnsi="Times New Roman" w:eastAsia="仿宋" w:cs="Times New Roman"/>
          <w:sz w:val="32"/>
          <w:szCs w:val="32"/>
          <w:highlight w:val="none"/>
          <w:u w:val="single"/>
        </w:rPr>
        <w:t>764.65</w:t>
      </w:r>
      <w:r>
        <w:rPr>
          <w:rFonts w:hint="default" w:ascii="Times New Roman" w:hAnsi="Times New Roman" w:eastAsia="仿宋" w:cs="Times New Roman"/>
          <w:sz w:val="32"/>
          <w:szCs w:val="32"/>
          <w:highlight w:val="none"/>
          <w:lang w:eastAsia="zh-CN"/>
        </w:rPr>
        <w:t>万元、自然资源海洋气象等支出</w:t>
      </w:r>
      <w:r>
        <w:rPr>
          <w:rFonts w:hint="default" w:ascii="Times New Roman" w:hAnsi="Times New Roman" w:eastAsia="仿宋" w:cs="Times New Roman"/>
          <w:sz w:val="32"/>
          <w:szCs w:val="32"/>
          <w:highlight w:val="none"/>
          <w:u w:val="single"/>
          <w:lang w:val="en-US" w:eastAsia="zh-CN"/>
        </w:rPr>
        <w:t>485.03</w:t>
      </w:r>
      <w:r>
        <w:rPr>
          <w:rFonts w:hint="default" w:ascii="Times New Roman" w:hAnsi="Times New Roman" w:eastAsia="仿宋" w:cs="Times New Roman"/>
          <w:sz w:val="32"/>
          <w:szCs w:val="32"/>
          <w:highlight w:val="none"/>
          <w:lang w:val="en-US" w:eastAsia="zh-CN"/>
        </w:rPr>
        <w:t>万元、</w:t>
      </w:r>
      <w:r>
        <w:rPr>
          <w:rFonts w:hint="default" w:ascii="Times New Roman" w:hAnsi="Times New Roman" w:eastAsia="仿宋" w:cs="Times New Roman"/>
          <w:sz w:val="32"/>
          <w:szCs w:val="32"/>
          <w:highlight w:val="none"/>
        </w:rPr>
        <w:t>住房保障支出</w:t>
      </w:r>
      <w:r>
        <w:rPr>
          <w:rFonts w:hint="default" w:ascii="Times New Roman" w:hAnsi="Times New Roman" w:eastAsia="仿宋" w:cs="Times New Roman"/>
          <w:sz w:val="32"/>
          <w:szCs w:val="32"/>
          <w:highlight w:val="none"/>
          <w:u w:val="single"/>
        </w:rPr>
        <w:t>48.12</w:t>
      </w:r>
      <w:r>
        <w:rPr>
          <w:rFonts w:hint="default" w:ascii="Times New Roman" w:hAnsi="Times New Roman" w:eastAsia="仿宋" w:cs="Times New Roman"/>
          <w:sz w:val="32"/>
          <w:szCs w:val="32"/>
          <w:highlight w:val="none"/>
          <w:lang w:eastAsia="zh-CN"/>
        </w:rPr>
        <w:t>万元</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val="en-US" w:eastAsia="zh-CN"/>
        </w:rPr>
        <w:t>2024年</w:t>
      </w:r>
      <w:r>
        <w:rPr>
          <w:rFonts w:hint="eastAsia" w:ascii="黑体" w:hAnsi="黑体" w:eastAsia="黑体"/>
          <w:sz w:val="32"/>
          <w:szCs w:val="32"/>
        </w:rPr>
        <w:t>部门收入总体情况</w:t>
      </w:r>
    </w:p>
    <w:p>
      <w:pPr>
        <w:ind w:firstLine="640" w:firstLineChars="200"/>
        <w:rPr>
          <w:rFonts w:ascii="仿宋" w:hAnsi="仿宋" w:eastAsia="仿宋"/>
          <w:sz w:val="32"/>
          <w:szCs w:val="32"/>
          <w:highlight w:val="none"/>
        </w:rPr>
      </w:pPr>
      <w:r>
        <w:rPr>
          <w:rFonts w:hint="eastAsia" w:ascii="仿宋" w:hAnsi="仿宋" w:eastAsia="仿宋"/>
          <w:sz w:val="32"/>
          <w:szCs w:val="32"/>
        </w:rPr>
        <w:t>收入预算总量</w:t>
      </w:r>
      <w:r>
        <w:rPr>
          <w:rFonts w:hint="eastAsia" w:ascii="仿宋" w:hAnsi="仿宋" w:eastAsia="仿宋"/>
          <w:sz w:val="32"/>
          <w:szCs w:val="32"/>
          <w:u w:val="single"/>
        </w:rPr>
        <w:t>2,548.43</w:t>
      </w:r>
      <w:r>
        <w:rPr>
          <w:rFonts w:hint="eastAsia" w:ascii="仿宋" w:hAnsi="仿宋" w:eastAsia="仿宋"/>
          <w:sz w:val="32"/>
          <w:szCs w:val="32"/>
        </w:rPr>
        <w:t>万元，</w:t>
      </w:r>
      <w:r>
        <w:rPr>
          <w:rFonts w:hint="eastAsia" w:ascii="仿宋" w:hAnsi="仿宋" w:eastAsia="仿宋"/>
          <w:sz w:val="32"/>
          <w:szCs w:val="32"/>
          <w:highlight w:val="none"/>
        </w:rPr>
        <w:t>同比减少</w:t>
      </w:r>
      <w:r>
        <w:rPr>
          <w:rFonts w:hint="eastAsia" w:ascii="仿宋" w:hAnsi="仿宋" w:eastAsia="仿宋"/>
          <w:sz w:val="32"/>
          <w:szCs w:val="32"/>
          <w:highlight w:val="none"/>
          <w:lang w:val="en-US" w:eastAsia="zh-CN"/>
        </w:rPr>
        <w:t>24.17</w:t>
      </w:r>
      <w:r>
        <w:rPr>
          <w:rFonts w:hint="eastAsia" w:ascii="仿宋" w:hAnsi="仿宋" w:eastAsia="仿宋"/>
          <w:sz w:val="32"/>
          <w:szCs w:val="32"/>
          <w:highlight w:val="none"/>
        </w:rPr>
        <w:t>万元，主要</w:t>
      </w:r>
      <w:r>
        <w:rPr>
          <w:rFonts w:ascii="仿宋" w:hAnsi="仿宋" w:eastAsia="仿宋"/>
          <w:sz w:val="32"/>
          <w:szCs w:val="32"/>
          <w:highlight w:val="none"/>
        </w:rPr>
        <w:t>原因是：</w:t>
      </w:r>
      <w:r>
        <w:rPr>
          <w:rFonts w:hint="eastAsia" w:ascii="仿宋" w:hAnsi="仿宋" w:eastAsia="仿宋"/>
          <w:sz w:val="32"/>
          <w:szCs w:val="32"/>
          <w:highlight w:val="none"/>
          <w:u w:val="single"/>
          <w:lang w:val="en-US" w:eastAsia="zh-CN"/>
        </w:rPr>
        <w:t>2024年项目资金较上年减少</w:t>
      </w:r>
      <w:r>
        <w:rPr>
          <w:rFonts w:hint="eastAsia" w:ascii="仿宋" w:hAnsi="仿宋" w:eastAsia="仿宋"/>
          <w:sz w:val="32"/>
          <w:szCs w:val="32"/>
          <w:highlight w:val="none"/>
        </w:rPr>
        <w:t>。其中：上年结转</w:t>
      </w:r>
      <w:r>
        <w:rPr>
          <w:rFonts w:hint="eastAsia" w:ascii="仿宋" w:hAnsi="仿宋" w:eastAsia="仿宋"/>
          <w:sz w:val="32"/>
          <w:szCs w:val="32"/>
          <w:highlight w:val="none"/>
          <w:u w:val="single"/>
        </w:rPr>
        <w:t>432.38</w:t>
      </w:r>
      <w:r>
        <w:rPr>
          <w:rFonts w:hint="eastAsia" w:ascii="仿宋" w:hAnsi="仿宋" w:eastAsia="仿宋"/>
          <w:sz w:val="32"/>
          <w:szCs w:val="32"/>
          <w:highlight w:val="none"/>
        </w:rPr>
        <w:t>万元， 占</w:t>
      </w:r>
      <w:r>
        <w:rPr>
          <w:rFonts w:hint="eastAsia" w:ascii="仿宋" w:hAnsi="仿宋" w:eastAsia="仿宋"/>
          <w:sz w:val="32"/>
          <w:szCs w:val="32"/>
          <w:highlight w:val="none"/>
          <w:lang w:val="en-US" w:eastAsia="zh-CN"/>
        </w:rPr>
        <w:t>16.97</w:t>
      </w:r>
      <w:r>
        <w:rPr>
          <w:rFonts w:hint="eastAsia" w:ascii="仿宋" w:hAnsi="仿宋" w:eastAsia="仿宋"/>
          <w:sz w:val="32"/>
          <w:szCs w:val="32"/>
          <w:highlight w:val="none"/>
        </w:rPr>
        <w:t>%；2</w:t>
      </w:r>
      <w:r>
        <w:rPr>
          <w:rFonts w:ascii="仿宋" w:hAnsi="仿宋" w:eastAsia="仿宋"/>
          <w:sz w:val="32"/>
          <w:szCs w:val="32"/>
          <w:highlight w:val="none"/>
        </w:rPr>
        <w:t>024</w:t>
      </w:r>
      <w:r>
        <w:rPr>
          <w:rFonts w:hint="eastAsia" w:ascii="仿宋" w:hAnsi="仿宋" w:eastAsia="仿宋"/>
          <w:sz w:val="32"/>
          <w:szCs w:val="32"/>
          <w:highlight w:val="none"/>
        </w:rPr>
        <w:t>年一般公共预算拨款收入</w:t>
      </w:r>
      <w:r>
        <w:rPr>
          <w:rFonts w:hint="eastAsia" w:ascii="仿宋" w:hAnsi="仿宋" w:eastAsia="仿宋"/>
          <w:sz w:val="32"/>
          <w:szCs w:val="32"/>
          <w:highlight w:val="none"/>
          <w:u w:val="single"/>
          <w:lang w:val="en-US" w:eastAsia="zh-CN"/>
        </w:rPr>
        <w:t>2116.05</w:t>
      </w:r>
      <w:r>
        <w:rPr>
          <w:rFonts w:hint="eastAsia" w:ascii="仿宋" w:hAnsi="仿宋" w:eastAsia="仿宋"/>
          <w:sz w:val="32"/>
          <w:szCs w:val="32"/>
          <w:highlight w:val="none"/>
        </w:rPr>
        <w:t>万元，占</w:t>
      </w:r>
      <w:r>
        <w:rPr>
          <w:rFonts w:hint="eastAsia" w:ascii="仿宋" w:hAnsi="仿宋" w:eastAsia="仿宋"/>
          <w:sz w:val="32"/>
          <w:szCs w:val="32"/>
          <w:highlight w:val="none"/>
          <w:u w:val="single"/>
          <w:lang w:val="en-US" w:eastAsia="zh-CN"/>
        </w:rPr>
        <w:t>83.03</w:t>
      </w:r>
      <w:r>
        <w:rPr>
          <w:rFonts w:hint="eastAsia" w:ascii="仿宋" w:hAnsi="仿宋" w:eastAsia="仿宋"/>
          <w:sz w:val="32"/>
          <w:szCs w:val="32"/>
          <w:highlight w:val="none"/>
        </w:rPr>
        <w:t>%；2</w:t>
      </w:r>
      <w:r>
        <w:rPr>
          <w:rFonts w:ascii="仿宋" w:hAnsi="仿宋" w:eastAsia="仿宋"/>
          <w:sz w:val="32"/>
          <w:szCs w:val="32"/>
          <w:highlight w:val="none"/>
        </w:rPr>
        <w:t>024</w:t>
      </w:r>
      <w:r>
        <w:rPr>
          <w:rFonts w:hint="eastAsia" w:ascii="仿宋" w:hAnsi="仿宋" w:eastAsia="仿宋"/>
          <w:sz w:val="32"/>
          <w:szCs w:val="32"/>
          <w:highlight w:val="none"/>
        </w:rPr>
        <w:t>年政府性基金</w:t>
      </w:r>
      <w:r>
        <w:rPr>
          <w:rFonts w:ascii="仿宋" w:hAnsi="仿宋" w:eastAsia="仿宋"/>
          <w:sz w:val="32"/>
          <w:szCs w:val="32"/>
          <w:highlight w:val="none"/>
        </w:rPr>
        <w:t>预算</w:t>
      </w:r>
      <w:r>
        <w:rPr>
          <w:rFonts w:hint="eastAsia" w:ascii="仿宋" w:hAnsi="仿宋" w:eastAsia="仿宋"/>
          <w:sz w:val="32"/>
          <w:szCs w:val="32"/>
          <w:highlight w:val="none"/>
        </w:rPr>
        <w:t>拨款收入</w:t>
      </w:r>
      <w:r>
        <w:rPr>
          <w:rFonts w:hint="eastAsia" w:ascii="仿宋" w:hAnsi="仿宋" w:eastAsia="仿宋"/>
          <w:sz w:val="32"/>
          <w:szCs w:val="32"/>
          <w:highlight w:val="none"/>
          <w:u w:val="single"/>
          <w:lang w:val="en-US" w:eastAsia="zh-CN"/>
        </w:rPr>
        <w:t>0</w:t>
      </w:r>
      <w:r>
        <w:rPr>
          <w:rFonts w:hint="eastAsia" w:ascii="仿宋" w:hAnsi="仿宋" w:eastAsia="仿宋"/>
          <w:sz w:val="32"/>
          <w:szCs w:val="32"/>
          <w:highlight w:val="none"/>
        </w:rPr>
        <w:t>万元，占</w:t>
      </w:r>
      <w:r>
        <w:rPr>
          <w:rFonts w:hint="eastAsia" w:ascii="仿宋" w:hAnsi="仿宋" w:eastAsia="仿宋"/>
          <w:sz w:val="32"/>
          <w:szCs w:val="32"/>
          <w:highlight w:val="none"/>
          <w:u w:val="single"/>
          <w:lang w:val="en-US" w:eastAsia="zh-CN"/>
        </w:rPr>
        <w:t>0</w:t>
      </w:r>
      <w:r>
        <w:rPr>
          <w:rFonts w:hint="eastAsia" w:ascii="仿宋" w:hAnsi="仿宋" w:eastAsia="仿宋"/>
          <w:sz w:val="32"/>
          <w:szCs w:val="32"/>
          <w:highlight w:val="none"/>
        </w:rPr>
        <w:t>%；2</w:t>
      </w:r>
      <w:r>
        <w:rPr>
          <w:rFonts w:ascii="仿宋" w:hAnsi="仿宋" w:eastAsia="仿宋"/>
          <w:sz w:val="32"/>
          <w:szCs w:val="32"/>
          <w:highlight w:val="none"/>
        </w:rPr>
        <w:t>024</w:t>
      </w:r>
      <w:r>
        <w:rPr>
          <w:rFonts w:hint="eastAsia" w:ascii="仿宋" w:hAnsi="仿宋" w:eastAsia="仿宋"/>
          <w:sz w:val="32"/>
          <w:szCs w:val="32"/>
          <w:highlight w:val="none"/>
        </w:rPr>
        <w:t>年国有资本</w:t>
      </w:r>
      <w:r>
        <w:rPr>
          <w:rFonts w:ascii="仿宋" w:hAnsi="仿宋" w:eastAsia="仿宋"/>
          <w:sz w:val="32"/>
          <w:szCs w:val="32"/>
          <w:highlight w:val="none"/>
        </w:rPr>
        <w:t>经营预算</w:t>
      </w:r>
      <w:r>
        <w:rPr>
          <w:rFonts w:hint="eastAsia" w:ascii="仿宋" w:hAnsi="仿宋" w:eastAsia="仿宋"/>
          <w:sz w:val="32"/>
          <w:szCs w:val="32"/>
          <w:highlight w:val="none"/>
        </w:rPr>
        <w:t>拨款收入</w:t>
      </w:r>
      <w:r>
        <w:rPr>
          <w:rFonts w:hint="eastAsia" w:ascii="仿宋" w:hAnsi="仿宋" w:eastAsia="仿宋"/>
          <w:sz w:val="32"/>
          <w:szCs w:val="32"/>
          <w:highlight w:val="none"/>
          <w:u w:val="single"/>
          <w:lang w:val="en-US" w:eastAsia="zh-CN"/>
        </w:rPr>
        <w:t>0</w:t>
      </w:r>
      <w:r>
        <w:rPr>
          <w:rFonts w:hint="eastAsia" w:ascii="仿宋" w:hAnsi="仿宋" w:eastAsia="仿宋"/>
          <w:sz w:val="32"/>
          <w:szCs w:val="32"/>
          <w:highlight w:val="none"/>
        </w:rPr>
        <w:t>万元，占</w:t>
      </w:r>
      <w:r>
        <w:rPr>
          <w:rFonts w:hint="eastAsia" w:ascii="仿宋" w:hAnsi="仿宋" w:eastAsia="仿宋"/>
          <w:sz w:val="32"/>
          <w:szCs w:val="32"/>
          <w:highlight w:val="none"/>
          <w:u w:val="single"/>
          <w:lang w:val="en-US" w:eastAsia="zh-CN"/>
        </w:rPr>
        <w:t>0</w:t>
      </w:r>
      <w:r>
        <w:rPr>
          <w:rFonts w:hint="eastAsia" w:ascii="仿宋" w:hAnsi="仿宋" w:eastAsia="仿宋"/>
          <w:sz w:val="32"/>
          <w:szCs w:val="32"/>
          <w:highlight w:val="none"/>
        </w:rPr>
        <w:t>%。</w:t>
      </w:r>
    </w:p>
    <w:p>
      <w:pPr>
        <w:ind w:firstLine="640" w:firstLineChars="200"/>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val="en-US" w:eastAsia="zh-CN"/>
        </w:rPr>
        <w:t>2024年</w:t>
      </w:r>
      <w:r>
        <w:rPr>
          <w:rFonts w:hint="eastAsia" w:ascii="黑体" w:hAnsi="黑体" w:eastAsia="黑体"/>
          <w:sz w:val="32"/>
          <w:szCs w:val="32"/>
        </w:rPr>
        <w:t>部门支出总体情况</w:t>
      </w:r>
    </w:p>
    <w:p>
      <w:pPr>
        <w:ind w:firstLine="640" w:firstLineChars="200"/>
        <w:rPr>
          <w:rFonts w:ascii="仿宋" w:hAnsi="仿宋" w:eastAsia="仿宋"/>
          <w:sz w:val="32"/>
          <w:szCs w:val="32"/>
        </w:rPr>
      </w:pPr>
      <w:r>
        <w:rPr>
          <w:rFonts w:hint="eastAsia" w:ascii="仿宋" w:hAnsi="仿宋" w:eastAsia="仿宋"/>
          <w:sz w:val="32"/>
          <w:szCs w:val="32"/>
          <w:lang w:val="en-US" w:eastAsia="zh-CN"/>
        </w:rPr>
        <w:t>2024年</w:t>
      </w:r>
      <w:r>
        <w:rPr>
          <w:rFonts w:hint="eastAsia" w:ascii="仿宋" w:hAnsi="仿宋" w:eastAsia="仿宋"/>
          <w:sz w:val="32"/>
          <w:szCs w:val="32"/>
        </w:rPr>
        <w:t>支出预算总量</w:t>
      </w:r>
      <w:r>
        <w:rPr>
          <w:rFonts w:hint="eastAsia" w:ascii="仿宋" w:hAnsi="仿宋" w:eastAsia="仿宋"/>
          <w:sz w:val="32"/>
          <w:szCs w:val="32"/>
          <w:u w:val="single"/>
        </w:rPr>
        <w:t>2548.43</w:t>
      </w:r>
      <w:r>
        <w:rPr>
          <w:rFonts w:hint="eastAsia" w:ascii="仿宋" w:hAnsi="仿宋" w:eastAsia="仿宋"/>
          <w:sz w:val="32"/>
          <w:szCs w:val="32"/>
        </w:rPr>
        <w:t>万元，同比</w:t>
      </w:r>
      <w:r>
        <w:rPr>
          <w:rFonts w:ascii="仿宋" w:hAnsi="仿宋" w:eastAsia="仿宋"/>
          <w:sz w:val="32"/>
          <w:szCs w:val="32"/>
        </w:rPr>
        <w:t>或</w:t>
      </w:r>
      <w:r>
        <w:rPr>
          <w:rFonts w:hint="eastAsia" w:ascii="仿宋" w:hAnsi="仿宋" w:eastAsia="仿宋"/>
          <w:sz w:val="32"/>
          <w:szCs w:val="32"/>
        </w:rPr>
        <w:t>减少</w:t>
      </w:r>
      <w:r>
        <w:rPr>
          <w:rFonts w:hint="eastAsia" w:ascii="仿宋" w:hAnsi="仿宋" w:eastAsia="仿宋"/>
          <w:sz w:val="32"/>
          <w:szCs w:val="32"/>
          <w:lang w:val="en-US" w:eastAsia="zh-CN"/>
        </w:rPr>
        <w:t>812.1</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lang w:val="en-US" w:eastAsia="zh-CN"/>
        </w:rPr>
        <w:t>2024年</w:t>
      </w:r>
      <w:r>
        <w:rPr>
          <w:rFonts w:hint="eastAsia" w:ascii="仿宋" w:hAnsi="仿宋" w:eastAsia="仿宋"/>
          <w:sz w:val="32"/>
          <w:szCs w:val="32"/>
          <w:highlight w:val="none"/>
          <w:u w:val="single"/>
          <w:lang w:val="en-US" w:eastAsia="zh-CN"/>
        </w:rPr>
        <w:t>项目资金较上年减少</w:t>
      </w:r>
      <w:r>
        <w:rPr>
          <w:rFonts w:hint="eastAsia" w:ascii="仿宋" w:hAnsi="仿宋" w:eastAsia="仿宋"/>
          <w:sz w:val="32"/>
          <w:szCs w:val="32"/>
          <w:highlight w:val="none"/>
        </w:rPr>
        <w:t>。</w:t>
      </w:r>
      <w:r>
        <w:rPr>
          <w:rFonts w:hint="eastAsia" w:ascii="仿宋" w:hAnsi="仿宋" w:eastAsia="仿宋"/>
          <w:sz w:val="32"/>
          <w:szCs w:val="32"/>
        </w:rPr>
        <w:t>其中：基本支出</w:t>
      </w:r>
      <w:r>
        <w:rPr>
          <w:rFonts w:hint="eastAsia" w:ascii="仿宋" w:hAnsi="仿宋" w:eastAsia="仿宋"/>
          <w:sz w:val="32"/>
          <w:szCs w:val="32"/>
          <w:u w:val="single"/>
        </w:rPr>
        <w:t>634.57</w:t>
      </w:r>
      <w:r>
        <w:rPr>
          <w:rFonts w:hint="eastAsia" w:ascii="仿宋" w:hAnsi="仿宋" w:eastAsia="仿宋"/>
          <w:sz w:val="32"/>
          <w:szCs w:val="32"/>
        </w:rPr>
        <w:t>万元，占</w:t>
      </w:r>
      <w:r>
        <w:rPr>
          <w:rFonts w:hint="eastAsia" w:ascii="仿宋" w:hAnsi="仿宋" w:eastAsia="仿宋"/>
          <w:sz w:val="32"/>
          <w:szCs w:val="32"/>
          <w:u w:val="single"/>
          <w:lang w:val="en-US" w:eastAsia="zh-CN"/>
        </w:rPr>
        <w:t>24.9</w:t>
      </w:r>
      <w:r>
        <w:rPr>
          <w:rFonts w:hint="eastAsia" w:ascii="仿宋" w:hAnsi="仿宋" w:eastAsia="仿宋"/>
          <w:sz w:val="32"/>
          <w:szCs w:val="32"/>
        </w:rPr>
        <w:t>%；项目支出</w:t>
      </w:r>
      <w:r>
        <w:rPr>
          <w:rFonts w:hint="eastAsia" w:ascii="仿宋" w:hAnsi="仿宋" w:eastAsia="仿宋"/>
          <w:sz w:val="32"/>
          <w:szCs w:val="32"/>
          <w:u w:val="single"/>
        </w:rPr>
        <w:t>1,905.28</w:t>
      </w:r>
      <w:r>
        <w:rPr>
          <w:rFonts w:hint="eastAsia" w:ascii="仿宋" w:hAnsi="仿宋" w:eastAsia="仿宋"/>
          <w:sz w:val="32"/>
          <w:szCs w:val="32"/>
        </w:rPr>
        <w:t>万元，占</w:t>
      </w:r>
      <w:r>
        <w:rPr>
          <w:rFonts w:hint="eastAsia" w:ascii="仿宋" w:hAnsi="仿宋" w:eastAsia="仿宋"/>
          <w:sz w:val="32"/>
          <w:szCs w:val="32"/>
          <w:u w:val="single"/>
          <w:lang w:val="en-US" w:eastAsia="zh-CN"/>
        </w:rPr>
        <w:t>74.76</w:t>
      </w:r>
      <w:r>
        <w:rPr>
          <w:rFonts w:hint="eastAsia" w:ascii="仿宋" w:hAnsi="仿宋" w:eastAsia="仿宋"/>
          <w:sz w:val="32"/>
          <w:szCs w:val="32"/>
        </w:rPr>
        <w:t>%；事业单位经营支出</w:t>
      </w:r>
      <w:r>
        <w:rPr>
          <w:rFonts w:hint="eastAsia" w:ascii="仿宋" w:hAnsi="仿宋" w:eastAsia="仿宋"/>
          <w:sz w:val="32"/>
          <w:szCs w:val="32"/>
          <w:u w:val="single"/>
          <w:lang w:val="en-US" w:eastAsia="zh-CN"/>
        </w:rPr>
        <w:t>0</w:t>
      </w:r>
      <w:r>
        <w:rPr>
          <w:rFonts w:hint="eastAsia" w:ascii="仿宋" w:hAnsi="仿宋" w:eastAsia="仿宋"/>
          <w:sz w:val="32"/>
          <w:szCs w:val="32"/>
        </w:rPr>
        <w:t>万元，占</w:t>
      </w:r>
      <w:r>
        <w:rPr>
          <w:rFonts w:hint="eastAsia" w:ascii="仿宋" w:hAnsi="仿宋" w:eastAsia="仿宋"/>
          <w:sz w:val="32"/>
          <w:szCs w:val="32"/>
          <w:u w:val="single"/>
          <w:lang w:val="en-US" w:eastAsia="zh-CN"/>
        </w:rPr>
        <w:t>0</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四、财政拨款收支总体情况</w:t>
      </w:r>
    </w:p>
    <w:p>
      <w:pPr>
        <w:ind w:firstLine="640" w:firstLineChars="200"/>
        <w:rPr>
          <w:rFonts w:ascii="仿宋" w:hAnsi="仿宋" w:eastAsia="仿宋"/>
          <w:sz w:val="32"/>
          <w:szCs w:val="32"/>
        </w:rPr>
      </w:pPr>
      <w:r>
        <w:rPr>
          <w:rFonts w:hint="eastAsia" w:ascii="仿宋" w:hAnsi="仿宋" w:eastAsia="仿宋"/>
          <w:sz w:val="32"/>
          <w:szCs w:val="32"/>
          <w:lang w:val="en-US" w:eastAsia="zh-CN"/>
        </w:rPr>
        <w:t>2024年</w:t>
      </w:r>
      <w:r>
        <w:rPr>
          <w:rFonts w:hint="eastAsia" w:ascii="仿宋" w:hAnsi="仿宋" w:eastAsia="仿宋"/>
          <w:sz w:val="32"/>
          <w:szCs w:val="32"/>
        </w:rPr>
        <w:t>财政拨款收支总预算</w:t>
      </w:r>
      <w:r>
        <w:rPr>
          <w:rFonts w:hint="eastAsia" w:ascii="仿宋" w:hAnsi="仿宋" w:eastAsia="仿宋"/>
          <w:sz w:val="32"/>
          <w:szCs w:val="32"/>
          <w:u w:val="single"/>
        </w:rPr>
        <w:t>2,548.43</w:t>
      </w:r>
      <w:r>
        <w:rPr>
          <w:rFonts w:hint="eastAsia" w:ascii="仿宋" w:hAnsi="仿宋" w:eastAsia="仿宋"/>
          <w:sz w:val="32"/>
          <w:szCs w:val="32"/>
        </w:rPr>
        <w:t>万元，同比减少</w:t>
      </w:r>
      <w:r>
        <w:rPr>
          <w:rFonts w:hint="eastAsia" w:ascii="仿宋" w:hAnsi="仿宋" w:eastAsia="仿宋"/>
          <w:sz w:val="32"/>
          <w:szCs w:val="32"/>
          <w:lang w:val="en-US" w:eastAsia="zh-CN"/>
        </w:rPr>
        <w:t>812.1</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lang w:val="en-US" w:eastAsia="zh-CN"/>
        </w:rPr>
        <w:t>2024年</w:t>
      </w:r>
      <w:r>
        <w:rPr>
          <w:rFonts w:hint="eastAsia" w:ascii="仿宋" w:hAnsi="仿宋" w:eastAsia="仿宋"/>
          <w:sz w:val="32"/>
          <w:szCs w:val="32"/>
          <w:highlight w:val="none"/>
          <w:u w:val="single"/>
          <w:lang w:val="en-US" w:eastAsia="zh-CN"/>
        </w:rPr>
        <w:t>项目资金较上年减少</w:t>
      </w:r>
      <w:r>
        <w:rPr>
          <w:rFonts w:hint="eastAsia" w:ascii="仿宋" w:hAnsi="仿宋" w:eastAsia="仿宋"/>
          <w:sz w:val="32"/>
          <w:szCs w:val="32"/>
          <w:highlight w:val="none"/>
        </w:rPr>
        <w:t>。收入包括：一般公共预算当年拨款</w:t>
      </w:r>
      <w:r>
        <w:rPr>
          <w:rFonts w:hint="eastAsia" w:ascii="仿宋" w:hAnsi="仿宋" w:eastAsia="仿宋"/>
          <w:sz w:val="32"/>
          <w:szCs w:val="32"/>
        </w:rPr>
        <w:t>收入</w:t>
      </w:r>
      <w:r>
        <w:rPr>
          <w:rFonts w:hint="eastAsia" w:ascii="仿宋" w:hAnsi="仿宋" w:eastAsia="仿宋"/>
          <w:sz w:val="32"/>
          <w:szCs w:val="32"/>
          <w:u w:val="single"/>
        </w:rPr>
        <w:t>2,116.05</w:t>
      </w:r>
      <w:r>
        <w:rPr>
          <w:rFonts w:hint="eastAsia" w:ascii="仿宋" w:hAnsi="仿宋" w:eastAsia="仿宋"/>
          <w:sz w:val="32"/>
          <w:szCs w:val="32"/>
        </w:rPr>
        <w:t>万元、上年结转</w:t>
      </w:r>
      <w:r>
        <w:rPr>
          <w:rFonts w:hint="eastAsia" w:ascii="仿宋" w:hAnsi="仿宋" w:eastAsia="仿宋"/>
          <w:sz w:val="32"/>
          <w:szCs w:val="32"/>
          <w:u w:val="single"/>
        </w:rPr>
        <w:t>432.38</w:t>
      </w:r>
      <w:r>
        <w:rPr>
          <w:rFonts w:hint="eastAsia" w:ascii="仿宋" w:hAnsi="仿宋" w:eastAsia="仿宋"/>
          <w:sz w:val="32"/>
          <w:szCs w:val="32"/>
        </w:rPr>
        <w:t>万元；支出包括：社会保障和就业支出</w:t>
      </w:r>
      <w:r>
        <w:rPr>
          <w:rFonts w:hint="eastAsia" w:ascii="仿宋" w:hAnsi="仿宋" w:eastAsia="仿宋"/>
          <w:sz w:val="32"/>
          <w:szCs w:val="32"/>
          <w:u w:val="single"/>
        </w:rPr>
        <w:t>69.31</w:t>
      </w:r>
      <w:r>
        <w:rPr>
          <w:rFonts w:hint="eastAsia" w:ascii="仿宋" w:hAnsi="仿宋" w:eastAsia="仿宋"/>
          <w:sz w:val="32"/>
          <w:szCs w:val="32"/>
          <w:lang w:eastAsia="zh-CN"/>
        </w:rPr>
        <w:t>万元</w:t>
      </w:r>
      <w:r>
        <w:rPr>
          <w:rFonts w:hint="eastAsia" w:ascii="仿宋" w:hAnsi="仿宋" w:eastAsia="仿宋"/>
          <w:sz w:val="32"/>
          <w:szCs w:val="32"/>
        </w:rPr>
        <w:t>、卫生健康支出</w:t>
      </w:r>
      <w:r>
        <w:rPr>
          <w:rFonts w:hint="eastAsia" w:ascii="仿宋" w:hAnsi="仿宋" w:eastAsia="仿宋"/>
          <w:sz w:val="32"/>
          <w:szCs w:val="32"/>
          <w:u w:val="single"/>
        </w:rPr>
        <w:t>41.03</w:t>
      </w:r>
      <w:r>
        <w:rPr>
          <w:rFonts w:hint="eastAsia" w:ascii="仿宋" w:hAnsi="仿宋" w:eastAsia="仿宋"/>
          <w:sz w:val="32"/>
          <w:szCs w:val="32"/>
          <w:lang w:eastAsia="zh-CN"/>
        </w:rPr>
        <w:t>万元</w:t>
      </w:r>
      <w:r>
        <w:rPr>
          <w:rFonts w:hint="eastAsia" w:ascii="仿宋" w:hAnsi="仿宋" w:eastAsia="仿宋"/>
          <w:sz w:val="32"/>
          <w:szCs w:val="32"/>
        </w:rPr>
        <w:t>、 城乡社区支出</w:t>
      </w:r>
      <w:r>
        <w:rPr>
          <w:rFonts w:hint="eastAsia" w:ascii="仿宋" w:hAnsi="仿宋" w:eastAsia="仿宋"/>
          <w:sz w:val="32"/>
          <w:szCs w:val="32"/>
          <w:u w:val="single"/>
          <w:lang w:val="en-US" w:eastAsia="zh-CN"/>
        </w:rPr>
        <w:t>8.58</w:t>
      </w:r>
      <w:r>
        <w:rPr>
          <w:rFonts w:hint="eastAsia" w:ascii="仿宋" w:hAnsi="仿宋" w:eastAsia="仿宋"/>
          <w:sz w:val="32"/>
          <w:szCs w:val="32"/>
          <w:lang w:val="en-US" w:eastAsia="zh-CN"/>
        </w:rPr>
        <w:t>万元、</w:t>
      </w:r>
      <w:r>
        <w:rPr>
          <w:rFonts w:hint="default" w:ascii="Times New Roman" w:hAnsi="Times New Roman" w:eastAsia="仿宋" w:cs="Times New Roman"/>
          <w:sz w:val="32"/>
          <w:szCs w:val="32"/>
          <w:highlight w:val="none"/>
        </w:rPr>
        <w:t>节能环保支出</w:t>
      </w:r>
      <w:r>
        <w:rPr>
          <w:rFonts w:hint="default" w:ascii="Times New Roman" w:hAnsi="Times New Roman" w:eastAsia="仿宋" w:cs="Times New Roman"/>
          <w:sz w:val="32"/>
          <w:szCs w:val="32"/>
          <w:highlight w:val="none"/>
          <w:u w:val="single"/>
        </w:rPr>
        <w:t>1,131.72</w:t>
      </w:r>
      <w:r>
        <w:rPr>
          <w:rFonts w:hint="default" w:ascii="Times New Roman" w:hAnsi="Times New Roman" w:eastAsia="仿宋" w:cs="Times New Roman"/>
          <w:sz w:val="32"/>
          <w:szCs w:val="32"/>
          <w:highlight w:val="none"/>
          <w:u w:val="none"/>
          <w:lang w:val="en-US" w:eastAsia="zh-CN"/>
        </w:rPr>
        <w:t>万元</w:t>
      </w:r>
      <w:r>
        <w:rPr>
          <w:rFonts w:hint="default" w:ascii="Times New Roman" w:hAnsi="Times New Roman" w:eastAsia="仿宋" w:cs="Times New Roman"/>
          <w:sz w:val="32"/>
          <w:szCs w:val="32"/>
          <w:highlight w:val="none"/>
        </w:rPr>
        <w:t>、农林水支出</w:t>
      </w:r>
      <w:r>
        <w:rPr>
          <w:rFonts w:hint="default" w:ascii="Times New Roman" w:hAnsi="Times New Roman" w:eastAsia="仿宋" w:cs="Times New Roman"/>
          <w:sz w:val="32"/>
          <w:szCs w:val="32"/>
          <w:highlight w:val="none"/>
          <w:u w:val="single"/>
        </w:rPr>
        <w:t>764.65</w:t>
      </w:r>
      <w:r>
        <w:rPr>
          <w:rFonts w:hint="default" w:ascii="Times New Roman" w:hAnsi="Times New Roman" w:eastAsia="仿宋" w:cs="Times New Roman"/>
          <w:sz w:val="32"/>
          <w:szCs w:val="32"/>
          <w:highlight w:val="none"/>
          <w:lang w:eastAsia="zh-CN"/>
        </w:rPr>
        <w:t>万元、自然资源海洋气象等支出</w:t>
      </w:r>
      <w:r>
        <w:rPr>
          <w:rFonts w:hint="default" w:ascii="Times New Roman" w:hAnsi="Times New Roman" w:eastAsia="仿宋" w:cs="Times New Roman"/>
          <w:sz w:val="32"/>
          <w:szCs w:val="32"/>
          <w:highlight w:val="none"/>
          <w:u w:val="single"/>
          <w:lang w:val="en-US" w:eastAsia="zh-CN"/>
        </w:rPr>
        <w:t>485.03</w:t>
      </w:r>
      <w:r>
        <w:rPr>
          <w:rFonts w:hint="default" w:ascii="Times New Roman" w:hAnsi="Times New Roman" w:eastAsia="仿宋" w:cs="Times New Roman"/>
          <w:sz w:val="32"/>
          <w:szCs w:val="32"/>
          <w:highlight w:val="none"/>
          <w:lang w:val="en-US" w:eastAsia="zh-CN"/>
        </w:rPr>
        <w:t>万元、</w:t>
      </w:r>
      <w:r>
        <w:rPr>
          <w:rFonts w:hint="default" w:ascii="Times New Roman" w:hAnsi="Times New Roman" w:eastAsia="仿宋" w:cs="Times New Roman"/>
          <w:sz w:val="32"/>
          <w:szCs w:val="32"/>
          <w:highlight w:val="none"/>
        </w:rPr>
        <w:t>住房保障支出</w:t>
      </w:r>
      <w:r>
        <w:rPr>
          <w:rFonts w:hint="default" w:ascii="Times New Roman" w:hAnsi="Times New Roman" w:eastAsia="仿宋" w:cs="Times New Roman"/>
          <w:sz w:val="32"/>
          <w:szCs w:val="32"/>
          <w:highlight w:val="none"/>
          <w:u w:val="single"/>
        </w:rPr>
        <w:t>48.12</w:t>
      </w:r>
      <w:r>
        <w:rPr>
          <w:rFonts w:hint="default" w:ascii="Times New Roman" w:hAnsi="Times New Roman" w:eastAsia="仿宋" w:cs="Times New Roman"/>
          <w:sz w:val="32"/>
          <w:szCs w:val="32"/>
          <w:highlight w:val="none"/>
          <w:lang w:eastAsia="zh-CN"/>
        </w:rPr>
        <w:t>万元</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五、一般公共预算支出总体情况</w:t>
      </w:r>
    </w:p>
    <w:p>
      <w:pPr>
        <w:ind w:firstLine="640" w:firstLineChars="200"/>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hint="eastAsia" w:ascii="仿宋" w:hAnsi="仿宋" w:eastAsia="仿宋"/>
          <w:sz w:val="32"/>
          <w:szCs w:val="32"/>
          <w:highlight w:val="none"/>
          <w:u w:val="none"/>
        </w:rPr>
      </w:pPr>
      <w:r>
        <w:rPr>
          <w:rFonts w:hint="eastAsia" w:ascii="仿宋" w:hAnsi="仿宋" w:eastAsia="仿宋"/>
          <w:sz w:val="32"/>
          <w:szCs w:val="32"/>
          <w:lang w:val="en-US" w:eastAsia="zh-CN"/>
        </w:rPr>
        <w:t>2024年</w:t>
      </w:r>
      <w:r>
        <w:rPr>
          <w:rFonts w:hint="eastAsia" w:ascii="仿宋" w:hAnsi="仿宋" w:eastAsia="仿宋"/>
          <w:sz w:val="32"/>
          <w:szCs w:val="32"/>
        </w:rPr>
        <w:t>一般公共预算当年拨款</w:t>
      </w:r>
      <w:r>
        <w:rPr>
          <w:rFonts w:hint="eastAsia" w:ascii="仿宋" w:hAnsi="仿宋" w:eastAsia="仿宋"/>
          <w:sz w:val="32"/>
          <w:szCs w:val="32"/>
          <w:u w:val="single"/>
        </w:rPr>
        <w:t>2,548.43</w:t>
      </w:r>
      <w:r>
        <w:rPr>
          <w:rFonts w:hint="eastAsia" w:ascii="仿宋" w:hAnsi="仿宋" w:eastAsia="仿宋"/>
          <w:sz w:val="32"/>
          <w:szCs w:val="32"/>
        </w:rPr>
        <w:t>万元,比2023 年执行数减少</w:t>
      </w:r>
      <w:r>
        <w:rPr>
          <w:rFonts w:hint="eastAsia" w:ascii="仿宋" w:hAnsi="仿宋" w:eastAsia="仿宋"/>
          <w:sz w:val="32"/>
          <w:szCs w:val="32"/>
          <w:lang w:val="en-US" w:eastAsia="zh-CN"/>
        </w:rPr>
        <w:t>812.1</w:t>
      </w:r>
      <w:r>
        <w:rPr>
          <w:rFonts w:hint="eastAsia" w:ascii="仿宋" w:hAnsi="仿宋" w:eastAsia="仿宋"/>
          <w:sz w:val="32"/>
          <w:szCs w:val="32"/>
        </w:rPr>
        <w:t>万元，主要原因：</w:t>
      </w:r>
      <w:r>
        <w:rPr>
          <w:rFonts w:hint="eastAsia" w:ascii="仿宋" w:hAnsi="仿宋" w:eastAsia="仿宋"/>
          <w:sz w:val="32"/>
          <w:szCs w:val="32"/>
          <w:u w:val="none"/>
          <w:lang w:val="en-US" w:eastAsia="zh-CN"/>
        </w:rPr>
        <w:t>2024年</w:t>
      </w:r>
      <w:r>
        <w:rPr>
          <w:rFonts w:hint="eastAsia" w:ascii="仿宋" w:hAnsi="仿宋" w:eastAsia="仿宋"/>
          <w:sz w:val="32"/>
          <w:szCs w:val="32"/>
          <w:highlight w:val="none"/>
          <w:u w:val="none"/>
          <w:lang w:val="en-US" w:eastAsia="zh-CN"/>
        </w:rPr>
        <w:t>项目资金较上年减少</w:t>
      </w:r>
      <w:r>
        <w:rPr>
          <w:rFonts w:hint="eastAsia" w:ascii="仿宋" w:hAnsi="仿宋" w:eastAsia="仿宋"/>
          <w:sz w:val="32"/>
          <w:szCs w:val="32"/>
          <w:highlight w:val="none"/>
          <w:u w:val="none"/>
        </w:rPr>
        <w:t>。</w:t>
      </w:r>
    </w:p>
    <w:p>
      <w:pPr>
        <w:ind w:firstLine="640" w:firstLineChars="200"/>
        <w:rPr>
          <w:rFonts w:ascii="楷体" w:hAnsi="楷体" w:eastAsia="楷体"/>
          <w:sz w:val="32"/>
          <w:szCs w:val="32"/>
        </w:rPr>
      </w:pPr>
      <w:r>
        <w:rPr>
          <w:rFonts w:hint="eastAsia" w:ascii="楷体" w:hAnsi="楷体" w:eastAsia="楷体"/>
          <w:sz w:val="32"/>
          <w:szCs w:val="32"/>
          <w:highlight w:val="none"/>
        </w:rPr>
        <w:t>（二）一般公共预算当年拨款结构情况</w:t>
      </w:r>
      <w:r>
        <w:rPr>
          <w:rFonts w:hint="eastAsia" w:ascii="楷体" w:hAnsi="楷体" w:eastAsia="楷体"/>
          <w:sz w:val="32"/>
          <w:szCs w:val="32"/>
        </w:rPr>
        <w:t>。</w:t>
      </w:r>
    </w:p>
    <w:p>
      <w:pPr>
        <w:ind w:firstLine="640" w:firstLineChars="200"/>
        <w:rPr>
          <w:rFonts w:hint="eastAsia" w:ascii="仿宋" w:hAnsi="仿宋" w:eastAsia="仿宋"/>
          <w:sz w:val="32"/>
          <w:szCs w:val="32"/>
        </w:rPr>
      </w:pPr>
      <w:r>
        <w:rPr>
          <w:rFonts w:hint="eastAsia" w:ascii="仿宋" w:hAnsi="仿宋" w:eastAsia="仿宋"/>
          <w:sz w:val="32"/>
          <w:szCs w:val="32"/>
        </w:rPr>
        <w:t>一般公共预算当年拨款</w:t>
      </w:r>
      <w:r>
        <w:rPr>
          <w:rFonts w:hint="eastAsia" w:ascii="仿宋" w:hAnsi="仿宋" w:eastAsia="仿宋"/>
          <w:sz w:val="32"/>
          <w:szCs w:val="32"/>
          <w:u w:val="single"/>
        </w:rPr>
        <w:t>2,548.43</w:t>
      </w:r>
      <w:r>
        <w:rPr>
          <w:rFonts w:hint="eastAsia" w:ascii="仿宋" w:hAnsi="仿宋" w:eastAsia="仿宋"/>
          <w:sz w:val="32"/>
          <w:szCs w:val="32"/>
        </w:rPr>
        <w:t>万元,主要</w:t>
      </w:r>
      <w:r>
        <w:rPr>
          <w:rFonts w:ascii="仿宋" w:hAnsi="仿宋" w:eastAsia="仿宋"/>
          <w:sz w:val="32"/>
          <w:szCs w:val="32"/>
        </w:rPr>
        <w:t>用于以下方面：</w:t>
      </w:r>
      <w:r>
        <w:rPr>
          <w:rFonts w:hint="eastAsia" w:ascii="仿宋" w:hAnsi="仿宋" w:eastAsia="仿宋"/>
          <w:sz w:val="32"/>
          <w:szCs w:val="32"/>
        </w:rPr>
        <w:t>社会保障和就业支出</w:t>
      </w:r>
      <w:r>
        <w:rPr>
          <w:rFonts w:hint="eastAsia" w:ascii="仿宋" w:hAnsi="仿宋" w:eastAsia="仿宋"/>
          <w:sz w:val="32"/>
          <w:szCs w:val="32"/>
          <w:u w:val="single"/>
        </w:rPr>
        <w:t>69.31</w:t>
      </w:r>
      <w:r>
        <w:rPr>
          <w:rFonts w:hint="eastAsia" w:ascii="仿宋" w:hAnsi="仿宋" w:eastAsia="仿宋"/>
          <w:sz w:val="32"/>
          <w:szCs w:val="32"/>
          <w:lang w:eastAsia="zh-CN"/>
        </w:rPr>
        <w:t>万元</w:t>
      </w:r>
      <w:r>
        <w:rPr>
          <w:rFonts w:hint="eastAsia" w:ascii="仿宋" w:hAnsi="仿宋" w:eastAsia="仿宋"/>
          <w:sz w:val="32"/>
          <w:szCs w:val="32"/>
        </w:rPr>
        <w:t>、占</w:t>
      </w:r>
      <w:r>
        <w:rPr>
          <w:rFonts w:hint="eastAsia" w:ascii="仿宋" w:hAnsi="仿宋" w:eastAsia="仿宋"/>
          <w:sz w:val="32"/>
          <w:szCs w:val="32"/>
          <w:u w:val="single"/>
          <w:lang w:val="en-US" w:eastAsia="zh-CN"/>
        </w:rPr>
        <w:t>2.72</w:t>
      </w:r>
      <w:r>
        <w:rPr>
          <w:rFonts w:hint="eastAsia" w:ascii="仿宋" w:hAnsi="仿宋" w:eastAsia="仿宋"/>
          <w:sz w:val="32"/>
          <w:szCs w:val="32"/>
        </w:rPr>
        <w:t>%；卫生健康支出</w:t>
      </w:r>
      <w:r>
        <w:rPr>
          <w:rFonts w:hint="eastAsia" w:ascii="仿宋" w:hAnsi="仿宋" w:eastAsia="仿宋"/>
          <w:sz w:val="32"/>
          <w:szCs w:val="32"/>
          <w:u w:val="single"/>
        </w:rPr>
        <w:t>41.03</w:t>
      </w:r>
      <w:r>
        <w:rPr>
          <w:rFonts w:hint="eastAsia" w:ascii="仿宋" w:hAnsi="仿宋" w:eastAsia="仿宋"/>
          <w:sz w:val="32"/>
          <w:szCs w:val="32"/>
          <w:lang w:eastAsia="zh-CN"/>
        </w:rPr>
        <w:t>万元</w:t>
      </w:r>
      <w:r>
        <w:rPr>
          <w:rFonts w:hint="eastAsia" w:ascii="仿宋" w:hAnsi="仿宋" w:eastAsia="仿宋"/>
          <w:sz w:val="32"/>
          <w:szCs w:val="32"/>
        </w:rPr>
        <w:t>、占</w:t>
      </w:r>
      <w:r>
        <w:rPr>
          <w:rFonts w:hint="eastAsia" w:ascii="仿宋" w:hAnsi="仿宋" w:eastAsia="仿宋"/>
          <w:sz w:val="32"/>
          <w:szCs w:val="32"/>
          <w:u w:val="single"/>
          <w:lang w:val="en-US" w:eastAsia="zh-CN"/>
        </w:rPr>
        <w:t>1.61</w:t>
      </w:r>
      <w:r>
        <w:rPr>
          <w:rFonts w:hint="eastAsia" w:ascii="仿宋" w:hAnsi="仿宋" w:eastAsia="仿宋"/>
          <w:sz w:val="32"/>
          <w:szCs w:val="32"/>
        </w:rPr>
        <w:t>%； 城乡社区支出</w:t>
      </w:r>
      <w:r>
        <w:rPr>
          <w:rFonts w:hint="eastAsia" w:ascii="仿宋" w:hAnsi="仿宋" w:eastAsia="仿宋"/>
          <w:sz w:val="32"/>
          <w:szCs w:val="32"/>
          <w:u w:val="single"/>
          <w:lang w:val="en-US" w:eastAsia="zh-CN"/>
        </w:rPr>
        <w:t>8.58</w:t>
      </w:r>
      <w:r>
        <w:rPr>
          <w:rFonts w:hint="eastAsia" w:ascii="仿宋" w:hAnsi="仿宋" w:eastAsia="仿宋"/>
          <w:sz w:val="32"/>
          <w:szCs w:val="32"/>
          <w:lang w:val="en-US" w:eastAsia="zh-CN"/>
        </w:rPr>
        <w:t>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sz w:val="32"/>
          <w:szCs w:val="32"/>
          <w:u w:val="single"/>
          <w:lang w:val="en-US" w:eastAsia="zh-CN"/>
        </w:rPr>
        <w:t>0.34</w:t>
      </w:r>
      <w:r>
        <w:rPr>
          <w:rFonts w:hint="eastAsia" w:ascii="仿宋" w:hAnsi="仿宋" w:eastAsia="仿宋"/>
          <w:sz w:val="32"/>
          <w:szCs w:val="32"/>
          <w:u w:val="single"/>
        </w:rPr>
        <w:t>%</w:t>
      </w:r>
      <w:r>
        <w:rPr>
          <w:rFonts w:hint="eastAsia" w:ascii="仿宋" w:hAnsi="仿宋" w:eastAsia="仿宋"/>
          <w:sz w:val="32"/>
          <w:szCs w:val="32"/>
        </w:rPr>
        <w:t>；</w:t>
      </w:r>
      <w:r>
        <w:rPr>
          <w:rFonts w:hint="default" w:ascii="Times New Roman" w:hAnsi="Times New Roman" w:eastAsia="仿宋" w:cs="Times New Roman"/>
          <w:sz w:val="32"/>
          <w:szCs w:val="32"/>
          <w:highlight w:val="none"/>
        </w:rPr>
        <w:t>节能环保支出</w:t>
      </w:r>
      <w:r>
        <w:rPr>
          <w:rFonts w:hint="default" w:ascii="Times New Roman" w:hAnsi="Times New Roman" w:eastAsia="仿宋" w:cs="Times New Roman"/>
          <w:sz w:val="32"/>
          <w:szCs w:val="32"/>
          <w:highlight w:val="none"/>
          <w:u w:val="single"/>
        </w:rPr>
        <w:t>1,131.72</w:t>
      </w:r>
      <w:r>
        <w:rPr>
          <w:rFonts w:hint="default" w:ascii="Times New Roman" w:hAnsi="Times New Roman" w:eastAsia="仿宋" w:cs="Times New Roman"/>
          <w:sz w:val="32"/>
          <w:szCs w:val="32"/>
          <w:highlight w:val="none"/>
          <w:u w:val="none"/>
          <w:lang w:val="en-US" w:eastAsia="zh-CN"/>
        </w:rPr>
        <w:t>万元</w:t>
      </w:r>
      <w:r>
        <w:rPr>
          <w:rFonts w:hint="default" w:ascii="Times New Roman" w:hAnsi="Times New Roman" w:eastAsia="仿宋" w:cs="Times New Roman"/>
          <w:sz w:val="32"/>
          <w:szCs w:val="32"/>
          <w:highlight w:val="none"/>
        </w:rPr>
        <w:t>、</w:t>
      </w:r>
      <w:r>
        <w:rPr>
          <w:rFonts w:hint="eastAsia" w:ascii="仿宋" w:hAnsi="仿宋" w:eastAsia="仿宋"/>
          <w:sz w:val="32"/>
          <w:szCs w:val="32"/>
        </w:rPr>
        <w:t>占</w:t>
      </w:r>
      <w:r>
        <w:rPr>
          <w:rFonts w:hint="eastAsia" w:ascii="仿宋" w:hAnsi="仿宋" w:eastAsia="仿宋"/>
          <w:sz w:val="32"/>
          <w:szCs w:val="32"/>
          <w:u w:val="single"/>
          <w:lang w:val="en-US" w:eastAsia="zh-CN"/>
        </w:rPr>
        <w:t>44.4</w:t>
      </w:r>
      <w:r>
        <w:rPr>
          <w:rFonts w:hint="eastAsia" w:ascii="仿宋" w:hAnsi="仿宋" w:eastAsia="仿宋"/>
          <w:sz w:val="32"/>
          <w:szCs w:val="32"/>
        </w:rPr>
        <w:t>%；</w:t>
      </w:r>
      <w:r>
        <w:rPr>
          <w:rFonts w:hint="default" w:ascii="Times New Roman" w:hAnsi="Times New Roman" w:eastAsia="仿宋" w:cs="Times New Roman"/>
          <w:sz w:val="32"/>
          <w:szCs w:val="32"/>
          <w:highlight w:val="none"/>
        </w:rPr>
        <w:t>农林水支出</w:t>
      </w:r>
      <w:r>
        <w:rPr>
          <w:rFonts w:hint="default" w:ascii="Times New Roman" w:hAnsi="Times New Roman" w:eastAsia="仿宋" w:cs="Times New Roman"/>
          <w:sz w:val="32"/>
          <w:szCs w:val="32"/>
          <w:highlight w:val="none"/>
          <w:u w:val="single"/>
        </w:rPr>
        <w:t>764.65</w:t>
      </w:r>
      <w:r>
        <w:rPr>
          <w:rFonts w:hint="default" w:ascii="Times New Roman" w:hAnsi="Times New Roman" w:eastAsia="仿宋" w:cs="Times New Roman"/>
          <w:sz w:val="32"/>
          <w:szCs w:val="32"/>
          <w:highlight w:val="none"/>
          <w:lang w:eastAsia="zh-CN"/>
        </w:rPr>
        <w:t>万元、</w:t>
      </w:r>
      <w:r>
        <w:rPr>
          <w:rFonts w:hint="eastAsia" w:ascii="仿宋" w:hAnsi="仿宋" w:eastAsia="仿宋"/>
          <w:sz w:val="32"/>
          <w:szCs w:val="32"/>
        </w:rPr>
        <w:t>占</w:t>
      </w:r>
      <w:r>
        <w:rPr>
          <w:rFonts w:hint="eastAsia" w:ascii="仿宋" w:hAnsi="仿宋" w:eastAsia="仿宋"/>
          <w:sz w:val="32"/>
          <w:szCs w:val="32"/>
          <w:u w:val="single"/>
          <w:lang w:val="en-US" w:eastAsia="zh-CN"/>
        </w:rPr>
        <w:t>30</w:t>
      </w:r>
      <w:r>
        <w:rPr>
          <w:rFonts w:hint="eastAsia" w:ascii="仿宋" w:hAnsi="仿宋" w:eastAsia="仿宋"/>
          <w:sz w:val="32"/>
          <w:szCs w:val="32"/>
        </w:rPr>
        <w:t>%；</w:t>
      </w:r>
      <w:r>
        <w:rPr>
          <w:rFonts w:hint="default" w:ascii="Times New Roman" w:hAnsi="Times New Roman" w:eastAsia="仿宋" w:cs="Times New Roman"/>
          <w:sz w:val="32"/>
          <w:szCs w:val="32"/>
          <w:highlight w:val="none"/>
          <w:lang w:eastAsia="zh-CN"/>
        </w:rPr>
        <w:t>自然资源海洋气象等支出</w:t>
      </w:r>
      <w:r>
        <w:rPr>
          <w:rFonts w:hint="default" w:ascii="Times New Roman" w:hAnsi="Times New Roman" w:eastAsia="仿宋" w:cs="Times New Roman"/>
          <w:sz w:val="32"/>
          <w:szCs w:val="32"/>
          <w:highlight w:val="none"/>
          <w:u w:val="single"/>
          <w:lang w:val="en-US" w:eastAsia="zh-CN"/>
        </w:rPr>
        <w:t>485.03</w:t>
      </w:r>
      <w:r>
        <w:rPr>
          <w:rFonts w:hint="default" w:ascii="Times New Roman" w:hAnsi="Times New Roman" w:eastAsia="仿宋" w:cs="Times New Roman"/>
          <w:sz w:val="32"/>
          <w:szCs w:val="32"/>
          <w:highlight w:val="none"/>
          <w:lang w:val="en-US" w:eastAsia="zh-CN"/>
        </w:rPr>
        <w:t>万元、</w:t>
      </w:r>
      <w:r>
        <w:rPr>
          <w:rFonts w:hint="eastAsia" w:ascii="仿宋" w:hAnsi="仿宋" w:eastAsia="仿宋"/>
          <w:sz w:val="32"/>
          <w:szCs w:val="32"/>
        </w:rPr>
        <w:t>占</w:t>
      </w:r>
      <w:r>
        <w:rPr>
          <w:rFonts w:hint="eastAsia" w:ascii="仿宋" w:hAnsi="仿宋" w:eastAsia="仿宋"/>
          <w:sz w:val="32"/>
          <w:szCs w:val="32"/>
          <w:u w:val="single"/>
          <w:lang w:val="en-US" w:eastAsia="zh-CN"/>
        </w:rPr>
        <w:t>19.03</w:t>
      </w:r>
      <w:r>
        <w:rPr>
          <w:rFonts w:hint="eastAsia" w:ascii="仿宋" w:hAnsi="仿宋" w:eastAsia="仿宋"/>
          <w:sz w:val="32"/>
          <w:szCs w:val="32"/>
        </w:rPr>
        <w:t>%；</w:t>
      </w:r>
      <w:r>
        <w:rPr>
          <w:rFonts w:hint="default" w:ascii="Times New Roman" w:hAnsi="Times New Roman" w:eastAsia="仿宋" w:cs="Times New Roman"/>
          <w:sz w:val="32"/>
          <w:szCs w:val="32"/>
          <w:highlight w:val="none"/>
        </w:rPr>
        <w:t>住房保障支出</w:t>
      </w:r>
      <w:r>
        <w:rPr>
          <w:rFonts w:hint="default" w:ascii="Times New Roman" w:hAnsi="Times New Roman" w:eastAsia="仿宋" w:cs="Times New Roman"/>
          <w:sz w:val="32"/>
          <w:szCs w:val="32"/>
          <w:highlight w:val="none"/>
          <w:u w:val="single"/>
        </w:rPr>
        <w:t>48.12</w:t>
      </w:r>
      <w:r>
        <w:rPr>
          <w:rFonts w:hint="eastAsia" w:ascii="仿宋" w:hAnsi="仿宋" w:eastAsia="仿宋"/>
          <w:sz w:val="32"/>
          <w:szCs w:val="32"/>
        </w:rPr>
        <w:t>占</w:t>
      </w:r>
      <w:r>
        <w:rPr>
          <w:rFonts w:hint="eastAsia" w:ascii="仿宋" w:hAnsi="仿宋" w:eastAsia="仿宋"/>
          <w:sz w:val="32"/>
          <w:szCs w:val="32"/>
          <w:lang w:val="en-US" w:eastAsia="zh-CN"/>
        </w:rPr>
        <w:t>1.89</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六、一般公共预算基本支出总体情况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2024年一般公共预算基本支出</w:t>
      </w:r>
      <w:r>
        <w:rPr>
          <w:rFonts w:hint="eastAsia" w:ascii="仿宋" w:hAnsi="仿宋" w:eastAsia="仿宋"/>
          <w:sz w:val="32"/>
          <w:szCs w:val="32"/>
          <w:u w:val="single"/>
        </w:rPr>
        <w:t>634.57</w:t>
      </w:r>
      <w:r>
        <w:rPr>
          <w:rFonts w:hint="eastAsia" w:ascii="仿宋" w:hAnsi="仿宋" w:eastAsia="仿宋"/>
          <w:sz w:val="32"/>
          <w:szCs w:val="32"/>
        </w:rPr>
        <w:t>万元，其中：人员经费</w:t>
      </w:r>
      <w:r>
        <w:rPr>
          <w:rFonts w:hint="eastAsia" w:ascii="仿宋" w:hAnsi="仿宋" w:eastAsia="仿宋"/>
          <w:sz w:val="32"/>
          <w:szCs w:val="32"/>
          <w:u w:val="single"/>
        </w:rPr>
        <w:t>587.21</w:t>
      </w:r>
      <w:r>
        <w:rPr>
          <w:rFonts w:hint="eastAsia" w:ascii="仿宋" w:hAnsi="仿宋" w:eastAsia="仿宋"/>
          <w:sz w:val="32"/>
          <w:szCs w:val="32"/>
        </w:rPr>
        <w:t>万元，主要包括：</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hint="eastAsia" w:ascii="仿宋" w:hAnsi="仿宋" w:eastAsia="仿宋"/>
          <w:sz w:val="32"/>
          <w:szCs w:val="32"/>
          <w:lang w:val="en-US" w:eastAsia="zh-CN"/>
        </w:rPr>
        <w:t>伙食补助费、</w:t>
      </w:r>
      <w:r>
        <w:rPr>
          <w:rFonts w:ascii="仿宋" w:hAnsi="仿宋" w:eastAsia="仿宋"/>
          <w:sz w:val="32"/>
          <w:szCs w:val="32"/>
        </w:rPr>
        <w:t>医疗费</w:t>
      </w:r>
      <w:r>
        <w:rPr>
          <w:rFonts w:hint="eastAsia" w:ascii="仿宋" w:hAnsi="仿宋" w:eastAsia="仿宋"/>
          <w:sz w:val="32"/>
          <w:szCs w:val="32"/>
          <w:lang w:eastAsia="zh-CN"/>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47.36</w:t>
      </w:r>
      <w:r>
        <w:rPr>
          <w:rFonts w:hint="eastAsia" w:ascii="仿宋" w:hAnsi="仿宋" w:eastAsia="仿宋"/>
          <w:sz w:val="32"/>
          <w:szCs w:val="32"/>
        </w:rPr>
        <w:t>万元，主要包括</w:t>
      </w:r>
      <w:r>
        <w:rPr>
          <w:rFonts w:hint="eastAsia" w:ascii="仿宋" w:hAnsi="仿宋" w:eastAsia="仿宋"/>
          <w:sz w:val="32"/>
          <w:szCs w:val="32"/>
          <w:lang w:eastAsia="zh-CN"/>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lang w:eastAsia="zh-CN"/>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七、一般公共预算“三公”经费预算总体情况</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highlight w:val="none"/>
        </w:rPr>
      </w:pPr>
      <w:r>
        <w:rPr>
          <w:rFonts w:hint="eastAsia" w:ascii="仿宋" w:hAnsi="仿宋" w:eastAsia="仿宋"/>
          <w:sz w:val="32"/>
          <w:szCs w:val="32"/>
        </w:rPr>
        <w:t>2024年“三公”经费预算数为</w:t>
      </w:r>
      <w:r>
        <w:rPr>
          <w:rFonts w:hint="eastAsia" w:ascii="仿宋" w:hAnsi="仿宋" w:eastAsia="仿宋"/>
          <w:sz w:val="32"/>
          <w:szCs w:val="32"/>
          <w:u w:val="single"/>
          <w:lang w:val="en-US" w:eastAsia="zh-CN"/>
        </w:rPr>
        <w:t>12.42</w:t>
      </w:r>
      <w:r>
        <w:rPr>
          <w:rFonts w:hint="eastAsia" w:ascii="仿宋" w:hAnsi="仿宋" w:eastAsia="仿宋"/>
          <w:sz w:val="32"/>
          <w:szCs w:val="32"/>
        </w:rPr>
        <w:t>万元，其中：因公出国（境）费</w:t>
      </w:r>
      <w:r>
        <w:rPr>
          <w:rFonts w:hint="eastAsia" w:ascii="仿宋" w:hAnsi="仿宋" w:eastAsia="仿宋"/>
          <w:sz w:val="32"/>
          <w:szCs w:val="32"/>
          <w:u w:val="single"/>
          <w:lang w:val="en-US" w:eastAsia="zh-CN"/>
        </w:rPr>
        <w:t>0</w:t>
      </w:r>
      <w:r>
        <w:rPr>
          <w:rFonts w:hint="eastAsia" w:ascii="仿宋" w:hAnsi="仿宋" w:eastAsia="仿宋"/>
          <w:sz w:val="32"/>
          <w:szCs w:val="32"/>
        </w:rPr>
        <w:t>万元，公务用车购置</w:t>
      </w:r>
      <w:r>
        <w:rPr>
          <w:rFonts w:hint="eastAsia" w:ascii="仿宋" w:hAnsi="仿宋" w:eastAsia="仿宋"/>
          <w:sz w:val="32"/>
          <w:szCs w:val="32"/>
          <w:u w:val="single"/>
          <w:lang w:eastAsia="zh-CN"/>
        </w:rPr>
        <w:t>及</w:t>
      </w:r>
      <w:r>
        <w:rPr>
          <w:rFonts w:ascii="仿宋" w:hAnsi="仿宋" w:eastAsia="仿宋"/>
          <w:sz w:val="32"/>
          <w:szCs w:val="32"/>
        </w:rPr>
        <w:t>公车</w:t>
      </w:r>
      <w:r>
        <w:rPr>
          <w:rFonts w:hint="eastAsia" w:ascii="仿宋" w:hAnsi="仿宋" w:eastAsia="仿宋"/>
          <w:sz w:val="32"/>
          <w:szCs w:val="32"/>
        </w:rPr>
        <w:t>运行费</w:t>
      </w:r>
      <w:r>
        <w:rPr>
          <w:rFonts w:hint="eastAsia" w:ascii="仿宋" w:hAnsi="仿宋" w:eastAsia="仿宋"/>
          <w:sz w:val="32"/>
          <w:szCs w:val="32"/>
          <w:u w:val="single"/>
          <w:lang w:val="en-US" w:eastAsia="zh-CN"/>
        </w:rPr>
        <w:t>11.</w:t>
      </w:r>
      <w:r>
        <w:rPr>
          <w:rFonts w:hint="eastAsia" w:ascii="仿宋" w:hAnsi="仿宋" w:eastAsia="仿宋"/>
          <w:sz w:val="32"/>
          <w:szCs w:val="32"/>
          <w:u w:val="single"/>
        </w:rPr>
        <w:t>7</w:t>
      </w:r>
      <w:r>
        <w:rPr>
          <w:rFonts w:hint="eastAsia" w:ascii="仿宋" w:hAnsi="仿宋" w:eastAsia="仿宋"/>
          <w:sz w:val="32"/>
          <w:szCs w:val="32"/>
        </w:rPr>
        <w:t>万元，</w:t>
      </w:r>
      <w:r>
        <w:rPr>
          <w:rFonts w:hint="eastAsia" w:ascii="仿宋" w:hAnsi="仿宋" w:eastAsia="仿宋"/>
          <w:sz w:val="32"/>
          <w:szCs w:val="32"/>
          <w:highlight w:val="none"/>
        </w:rPr>
        <w:t>公务接待费</w:t>
      </w:r>
      <w:r>
        <w:rPr>
          <w:rFonts w:hint="eastAsia" w:ascii="仿宋" w:hAnsi="仿宋" w:eastAsia="仿宋"/>
          <w:sz w:val="32"/>
          <w:szCs w:val="32"/>
          <w:highlight w:val="none"/>
          <w:u w:val="single"/>
          <w:lang w:val="en-US" w:eastAsia="zh-CN"/>
        </w:rPr>
        <w:t>0.72</w:t>
      </w:r>
      <w:r>
        <w:rPr>
          <w:rFonts w:hint="eastAsia" w:ascii="仿宋" w:hAnsi="仿宋" w:eastAsia="仿宋"/>
          <w:sz w:val="32"/>
          <w:szCs w:val="32"/>
          <w:highlight w:val="none"/>
        </w:rPr>
        <w:t>万元。“三公”经费预算比2023年增加</w:t>
      </w:r>
      <w:r>
        <w:rPr>
          <w:rFonts w:hint="eastAsia" w:ascii="仿宋" w:hAnsi="仿宋" w:eastAsia="仿宋"/>
          <w:sz w:val="32"/>
          <w:szCs w:val="32"/>
          <w:highlight w:val="none"/>
          <w:u w:val="single"/>
          <w:lang w:val="en-US" w:eastAsia="zh-CN"/>
        </w:rPr>
        <w:t>9.03</w:t>
      </w:r>
      <w:r>
        <w:rPr>
          <w:rFonts w:hint="eastAsia" w:ascii="仿宋" w:hAnsi="仿宋" w:eastAsia="仿宋"/>
          <w:sz w:val="32"/>
          <w:szCs w:val="32"/>
          <w:highlight w:val="none"/>
        </w:rPr>
        <w:t>万元，增长</w:t>
      </w:r>
      <w:r>
        <w:rPr>
          <w:rFonts w:hint="eastAsia" w:ascii="仿宋" w:hAnsi="仿宋" w:eastAsia="仿宋"/>
          <w:sz w:val="32"/>
          <w:szCs w:val="32"/>
          <w:highlight w:val="none"/>
          <w:u w:val="single"/>
          <w:lang w:val="en-US" w:eastAsia="zh-CN"/>
        </w:rPr>
        <w:t>338.2</w:t>
      </w:r>
      <w:r>
        <w:rPr>
          <w:rFonts w:hint="eastAsia" w:ascii="仿宋" w:hAnsi="仿宋" w:eastAsia="仿宋"/>
          <w:sz w:val="32"/>
          <w:szCs w:val="32"/>
          <w:highlight w:val="none"/>
        </w:rPr>
        <w:t>%，主要原因是</w:t>
      </w:r>
      <w:r>
        <w:rPr>
          <w:rFonts w:hint="eastAsia" w:ascii="仿宋" w:hAnsi="仿宋" w:eastAsia="仿宋"/>
          <w:sz w:val="32"/>
          <w:szCs w:val="32"/>
          <w:highlight w:val="none"/>
          <w:lang w:val="en-US" w:eastAsia="zh-CN"/>
        </w:rPr>
        <w:t>县财政增加三公经费预算</w:t>
      </w:r>
      <w:r>
        <w:rPr>
          <w:rFonts w:hint="eastAsia" w:ascii="仿宋" w:hAnsi="仿宋" w:eastAsia="仿宋"/>
          <w:sz w:val="32"/>
          <w:szCs w:val="32"/>
          <w:highlight w:val="none"/>
        </w:rPr>
        <w:t>。</w:t>
      </w:r>
    </w:p>
    <w:p>
      <w:pPr>
        <w:ind w:firstLine="640" w:firstLineChars="200"/>
        <w:rPr>
          <w:rFonts w:ascii="仿宋" w:hAnsi="仿宋" w:eastAsia="仿宋"/>
          <w:sz w:val="32"/>
          <w:szCs w:val="32"/>
        </w:rPr>
      </w:pPr>
      <w:r>
        <w:rPr>
          <w:rFonts w:hint="eastAsia" w:ascii="仿宋" w:hAnsi="仿宋" w:eastAsia="仿宋"/>
          <w:sz w:val="32"/>
          <w:szCs w:val="32"/>
        </w:rPr>
        <w:t>2024年因公出国（境）</w:t>
      </w:r>
      <w:r>
        <w:rPr>
          <w:rFonts w:hint="eastAsia" w:ascii="仿宋" w:hAnsi="仿宋" w:eastAsia="仿宋"/>
          <w:sz w:val="32"/>
          <w:szCs w:val="32"/>
          <w:u w:val="single"/>
          <w:lang w:val="en-US" w:eastAsia="zh-CN"/>
        </w:rPr>
        <w:t>0</w:t>
      </w:r>
      <w:r>
        <w:rPr>
          <w:rFonts w:hint="eastAsia" w:ascii="仿宋" w:hAnsi="仿宋" w:eastAsia="仿宋"/>
          <w:sz w:val="32"/>
          <w:szCs w:val="32"/>
        </w:rPr>
        <w:t>个团组、</w:t>
      </w:r>
      <w:r>
        <w:rPr>
          <w:rFonts w:hint="eastAsia" w:ascii="仿宋" w:hAnsi="仿宋" w:eastAsia="仿宋"/>
          <w:sz w:val="32"/>
          <w:szCs w:val="32"/>
          <w:u w:val="single"/>
          <w:lang w:val="en-US" w:eastAsia="zh-CN"/>
        </w:rPr>
        <w:t>0</w:t>
      </w:r>
      <w:r>
        <w:rPr>
          <w:rFonts w:hint="eastAsia" w:ascii="仿宋" w:hAnsi="仿宋" w:eastAsia="仿宋"/>
          <w:sz w:val="32"/>
          <w:szCs w:val="32"/>
        </w:rPr>
        <w:t>人，</w:t>
      </w:r>
      <w:r>
        <w:rPr>
          <w:rFonts w:hint="eastAsia" w:ascii="仿宋" w:hAnsi="仿宋" w:eastAsia="仿宋"/>
          <w:sz w:val="32"/>
          <w:szCs w:val="32"/>
          <w:highlight w:val="none"/>
        </w:rPr>
        <w:t>公务用车购置</w:t>
      </w:r>
      <w:r>
        <w:rPr>
          <w:rFonts w:hint="eastAsia" w:ascii="仿宋" w:hAnsi="仿宋" w:eastAsia="仿宋"/>
          <w:sz w:val="32"/>
          <w:szCs w:val="32"/>
          <w:highlight w:val="none"/>
          <w:u w:val="single"/>
          <w:lang w:val="en-US" w:eastAsia="zh-CN"/>
        </w:rPr>
        <w:t>0</w:t>
      </w:r>
      <w:r>
        <w:rPr>
          <w:rFonts w:hint="eastAsia" w:ascii="仿宋" w:hAnsi="仿宋" w:eastAsia="仿宋"/>
          <w:sz w:val="32"/>
          <w:szCs w:val="32"/>
          <w:highlight w:val="none"/>
        </w:rPr>
        <w:t>辆、保有</w:t>
      </w:r>
      <w:r>
        <w:rPr>
          <w:rFonts w:hint="eastAsia" w:ascii="仿宋" w:hAnsi="仿宋" w:eastAsia="仿宋"/>
          <w:sz w:val="32"/>
          <w:szCs w:val="32"/>
          <w:highlight w:val="none"/>
          <w:u w:val="single"/>
          <w:lang w:val="en-US" w:eastAsia="zh-CN"/>
        </w:rPr>
        <w:t>1</w:t>
      </w:r>
      <w:r>
        <w:rPr>
          <w:rFonts w:hint="eastAsia" w:ascii="仿宋" w:hAnsi="仿宋" w:eastAsia="仿宋"/>
          <w:sz w:val="32"/>
          <w:szCs w:val="32"/>
          <w:highlight w:val="none"/>
        </w:rPr>
        <w:t>量，国内公务接待</w:t>
      </w:r>
      <w:r>
        <w:rPr>
          <w:rFonts w:hint="eastAsia" w:ascii="仿宋" w:hAnsi="仿宋" w:eastAsia="仿宋"/>
          <w:sz w:val="32"/>
          <w:szCs w:val="32"/>
          <w:highlight w:val="none"/>
          <w:u w:val="single"/>
          <w:lang w:val="en-US" w:eastAsia="zh-CN"/>
        </w:rPr>
        <w:t>0</w:t>
      </w:r>
      <w:r>
        <w:rPr>
          <w:rFonts w:hint="eastAsia" w:ascii="仿宋" w:hAnsi="仿宋" w:eastAsia="仿宋"/>
          <w:sz w:val="32"/>
          <w:szCs w:val="32"/>
          <w:highlight w:val="none"/>
        </w:rPr>
        <w:t>批次、</w:t>
      </w:r>
      <w:r>
        <w:rPr>
          <w:rFonts w:hint="eastAsia" w:ascii="仿宋" w:hAnsi="仿宋" w:eastAsia="仿宋"/>
          <w:sz w:val="32"/>
          <w:szCs w:val="32"/>
          <w:highlight w:val="none"/>
          <w:u w:val="single"/>
          <w:lang w:val="en-US" w:eastAsia="zh-CN"/>
        </w:rPr>
        <w:t>0</w:t>
      </w:r>
      <w:r>
        <w:rPr>
          <w:rFonts w:hint="eastAsia" w:ascii="仿宋" w:hAnsi="仿宋" w:eastAsia="仿宋"/>
          <w:sz w:val="32"/>
          <w:szCs w:val="32"/>
          <w:highlight w:val="none"/>
        </w:rPr>
        <w:t>人</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八、政府性基金预算支出总体情况</w:t>
      </w:r>
    </w:p>
    <w:p>
      <w:pPr>
        <w:ind w:firstLine="640" w:firstLineChars="200"/>
        <w:rPr>
          <w:rFonts w:hint="eastAsia" w:ascii="仿宋" w:hAnsi="仿宋" w:eastAsia="仿宋"/>
          <w:sz w:val="32"/>
          <w:szCs w:val="32"/>
          <w:highlight w:val="none"/>
          <w:u w:val="none"/>
        </w:rPr>
      </w:pPr>
      <w:r>
        <w:rPr>
          <w:rFonts w:hint="eastAsia" w:ascii="仿宋" w:hAnsi="仿宋" w:eastAsia="仿宋"/>
          <w:sz w:val="32"/>
          <w:szCs w:val="32"/>
          <w:lang w:val="en-US" w:eastAsia="zh-CN"/>
        </w:rPr>
        <w:t>2024年</w:t>
      </w:r>
      <w:r>
        <w:rPr>
          <w:rFonts w:hint="eastAsia" w:ascii="仿宋" w:hAnsi="仿宋" w:eastAsia="仿宋"/>
          <w:sz w:val="32"/>
          <w:szCs w:val="32"/>
        </w:rPr>
        <w:t>政府性基金预算当年拨款</w:t>
      </w:r>
      <w:r>
        <w:rPr>
          <w:rFonts w:hint="eastAsia" w:ascii="仿宋_GB2312" w:eastAsia="仿宋_GB2312" w:cs="仿宋_GB2312" w:hAnsiTheme="minorHAnsi"/>
          <w:kern w:val="0"/>
          <w:sz w:val="32"/>
          <w:szCs w:val="32"/>
          <w:u w:val="single"/>
        </w:rPr>
        <w:t>8.58</w:t>
      </w:r>
      <w:r>
        <w:rPr>
          <w:rFonts w:hint="eastAsia" w:ascii="仿宋" w:hAnsi="仿宋" w:eastAsia="仿宋"/>
          <w:sz w:val="32"/>
          <w:szCs w:val="32"/>
        </w:rPr>
        <w:t>万元,比2023年执行数减少</w:t>
      </w:r>
      <w:r>
        <w:rPr>
          <w:rFonts w:hint="eastAsia" w:ascii="仿宋_GB2312" w:eastAsia="仿宋_GB2312" w:cs="仿宋_GB2312" w:hAnsiTheme="minorHAnsi"/>
          <w:kern w:val="0"/>
          <w:sz w:val="32"/>
          <w:szCs w:val="32"/>
          <w:u w:val="single"/>
          <w:lang w:val="en-US" w:eastAsia="zh-CN"/>
        </w:rPr>
        <w:t>170.98</w:t>
      </w:r>
      <w:r>
        <w:rPr>
          <w:rFonts w:hint="eastAsia" w:ascii="仿宋" w:hAnsi="仿宋" w:eastAsia="仿宋"/>
          <w:sz w:val="32"/>
          <w:szCs w:val="32"/>
        </w:rPr>
        <w:t>万元，主要原因：</w:t>
      </w:r>
      <w:r>
        <w:rPr>
          <w:rFonts w:hint="eastAsia" w:ascii="仿宋" w:hAnsi="仿宋" w:eastAsia="仿宋"/>
          <w:sz w:val="32"/>
          <w:szCs w:val="32"/>
          <w:u w:val="none"/>
          <w:lang w:val="en-US" w:eastAsia="zh-CN"/>
        </w:rPr>
        <w:t>2024年</w:t>
      </w:r>
      <w:r>
        <w:rPr>
          <w:rFonts w:hint="eastAsia" w:ascii="仿宋" w:hAnsi="仿宋" w:eastAsia="仿宋"/>
          <w:sz w:val="32"/>
          <w:szCs w:val="32"/>
          <w:highlight w:val="none"/>
          <w:u w:val="none"/>
          <w:lang w:val="en-US" w:eastAsia="zh-CN"/>
        </w:rPr>
        <w:t>项目较上年减少</w:t>
      </w:r>
      <w:r>
        <w:rPr>
          <w:rFonts w:hint="eastAsia" w:ascii="仿宋" w:hAnsi="仿宋" w:eastAsia="仿宋"/>
          <w:sz w:val="32"/>
          <w:szCs w:val="32"/>
          <w:highlight w:val="none"/>
          <w:u w:val="none"/>
        </w:rPr>
        <w:t>。</w:t>
      </w:r>
    </w:p>
    <w:p>
      <w:pPr>
        <w:ind w:firstLine="640" w:firstLineChars="200"/>
        <w:rPr>
          <w:rFonts w:ascii="黑体" w:hAnsi="黑体" w:eastAsia="黑体"/>
          <w:sz w:val="32"/>
          <w:szCs w:val="32"/>
        </w:rPr>
      </w:pPr>
      <w:r>
        <w:rPr>
          <w:rFonts w:hint="eastAsia" w:ascii="黑体" w:hAnsi="黑体" w:eastAsia="黑体"/>
          <w:sz w:val="32"/>
          <w:szCs w:val="32"/>
        </w:rPr>
        <w:t>九、政府性</w:t>
      </w:r>
      <w:r>
        <w:rPr>
          <w:rFonts w:ascii="黑体" w:hAnsi="黑体" w:eastAsia="黑体"/>
          <w:sz w:val="32"/>
          <w:szCs w:val="32"/>
        </w:rPr>
        <w:t>基金“</w:t>
      </w:r>
      <w:r>
        <w:rPr>
          <w:rFonts w:hint="eastAsia" w:ascii="黑体" w:hAnsi="黑体" w:eastAsia="黑体"/>
          <w:sz w:val="32"/>
          <w:szCs w:val="32"/>
        </w:rPr>
        <w:t>三公</w:t>
      </w:r>
      <w:r>
        <w:rPr>
          <w:rFonts w:ascii="黑体" w:hAnsi="黑体" w:eastAsia="黑体"/>
          <w:sz w:val="32"/>
          <w:szCs w:val="32"/>
        </w:rPr>
        <w:t>”</w:t>
      </w:r>
      <w:r>
        <w:rPr>
          <w:rFonts w:hint="eastAsia" w:ascii="黑体" w:hAnsi="黑体" w:eastAsia="黑体"/>
          <w:sz w:val="32"/>
          <w:szCs w:val="32"/>
        </w:rPr>
        <w:t>经费总体</w:t>
      </w:r>
      <w:r>
        <w:rPr>
          <w:rFonts w:ascii="黑体" w:hAnsi="黑体" w:eastAsia="黑体"/>
          <w:sz w:val="32"/>
          <w:szCs w:val="32"/>
        </w:rPr>
        <w:t>情况</w:t>
      </w:r>
    </w:p>
    <w:p>
      <w:pPr>
        <w:ind w:firstLine="640" w:firstLineChars="200"/>
        <w:rPr>
          <w:rFonts w:hint="default" w:ascii="仿宋" w:hAnsi="仿宋" w:eastAsia="仿宋"/>
          <w:sz w:val="32"/>
          <w:szCs w:val="32"/>
          <w:highlight w:val="yellow"/>
          <w:lang w:val="en-US" w:eastAsia="zh-CN"/>
        </w:rPr>
      </w:pPr>
      <w:r>
        <w:rPr>
          <w:rFonts w:hint="eastAsia" w:ascii="仿宋" w:hAnsi="仿宋" w:eastAsia="仿宋"/>
          <w:sz w:val="32"/>
          <w:szCs w:val="32"/>
          <w:highlight w:val="none"/>
          <w:lang w:val="en-US" w:eastAsia="zh-CN"/>
        </w:rPr>
        <w:t>自然资源局不涉及。</w:t>
      </w:r>
    </w:p>
    <w:p>
      <w:pPr>
        <w:ind w:firstLine="640" w:firstLineChars="200"/>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其他重要事项的情况说明</w:t>
      </w:r>
    </w:p>
    <w:p>
      <w:pPr>
        <w:ind w:firstLine="480" w:firstLineChars="150"/>
        <w:rPr>
          <w:rFonts w:ascii="楷体" w:hAnsi="楷体" w:eastAsia="楷体"/>
          <w:sz w:val="32"/>
          <w:szCs w:val="32"/>
        </w:rPr>
      </w:pPr>
      <w:r>
        <w:rPr>
          <w:rFonts w:hint="eastAsia" w:ascii="楷体" w:hAnsi="楷体" w:eastAsia="楷体"/>
          <w:sz w:val="32"/>
          <w:szCs w:val="32"/>
        </w:rPr>
        <w:t>（一）机关运行经费安排使用情况说明。</w:t>
      </w:r>
    </w:p>
    <w:p>
      <w:pPr>
        <w:ind w:firstLine="640" w:firstLineChars="200"/>
        <w:rPr>
          <w:rFonts w:ascii="仿宋" w:hAnsi="仿宋" w:eastAsia="仿宋"/>
          <w:sz w:val="32"/>
          <w:szCs w:val="32"/>
        </w:rPr>
      </w:pPr>
      <w:r>
        <w:rPr>
          <w:rFonts w:ascii="仿宋" w:hAnsi="仿宋" w:eastAsia="仿宋"/>
          <w:sz w:val="32"/>
          <w:szCs w:val="32"/>
          <w:highlight w:val="none"/>
        </w:rPr>
        <w:t>2024</w:t>
      </w:r>
      <w:r>
        <w:rPr>
          <w:rFonts w:hint="eastAsia" w:ascii="仿宋" w:hAnsi="仿宋" w:eastAsia="仿宋"/>
          <w:sz w:val="32"/>
          <w:szCs w:val="32"/>
          <w:highlight w:val="none"/>
        </w:rPr>
        <w:t>年单位的机关运行经费财政拨款预算</w:t>
      </w:r>
      <w:r>
        <w:rPr>
          <w:rFonts w:hint="eastAsia" w:ascii="仿宋_GB2312" w:eastAsia="仿宋_GB2312" w:cs="仿宋_GB2312" w:hAnsiTheme="minorHAnsi"/>
          <w:kern w:val="0"/>
          <w:sz w:val="32"/>
          <w:szCs w:val="32"/>
          <w:highlight w:val="none"/>
          <w:u w:val="single"/>
          <w:lang w:val="en-US" w:eastAsia="zh-CN"/>
        </w:rPr>
        <w:t>47.36</w:t>
      </w:r>
      <w:r>
        <w:rPr>
          <w:rFonts w:hint="eastAsia" w:ascii="仿宋" w:hAnsi="仿宋" w:eastAsia="仿宋"/>
          <w:sz w:val="32"/>
          <w:szCs w:val="32"/>
          <w:highlight w:val="none"/>
        </w:rPr>
        <w:t>万元，比</w:t>
      </w:r>
      <w:r>
        <w:rPr>
          <w:rFonts w:ascii="仿宋" w:hAnsi="仿宋" w:eastAsia="仿宋"/>
          <w:sz w:val="32"/>
          <w:szCs w:val="32"/>
          <w:highlight w:val="none"/>
        </w:rPr>
        <w:t>2023</w:t>
      </w:r>
      <w:r>
        <w:rPr>
          <w:rFonts w:hint="eastAsia" w:ascii="仿宋" w:hAnsi="仿宋" w:eastAsia="仿宋"/>
          <w:sz w:val="32"/>
          <w:szCs w:val="32"/>
          <w:highlight w:val="none"/>
        </w:rPr>
        <w:t>年预算增加</w:t>
      </w:r>
      <w:r>
        <w:rPr>
          <w:rFonts w:hint="eastAsia" w:ascii="仿宋_GB2312" w:eastAsia="仿宋_GB2312" w:cs="仿宋_GB2312" w:hAnsiTheme="minorHAnsi"/>
          <w:kern w:val="0"/>
          <w:sz w:val="32"/>
          <w:szCs w:val="32"/>
          <w:highlight w:val="none"/>
          <w:u w:val="single"/>
          <w:lang w:val="en-US" w:eastAsia="zh-CN"/>
        </w:rPr>
        <w:t>14.52</w:t>
      </w:r>
      <w:r>
        <w:rPr>
          <w:rFonts w:hint="eastAsia" w:ascii="仿宋" w:hAnsi="仿宋" w:eastAsia="仿宋"/>
          <w:sz w:val="32"/>
          <w:szCs w:val="32"/>
          <w:highlight w:val="none"/>
        </w:rPr>
        <w:t>万元，增长</w:t>
      </w:r>
      <w:r>
        <w:rPr>
          <w:rFonts w:hint="eastAsia" w:ascii="仿宋_GB2312" w:eastAsia="仿宋_GB2312" w:cs="仿宋_GB2312" w:hAnsiTheme="minorHAnsi"/>
          <w:kern w:val="0"/>
          <w:sz w:val="32"/>
          <w:szCs w:val="32"/>
          <w:highlight w:val="none"/>
          <w:u w:val="single"/>
          <w:lang w:val="en-US" w:eastAsia="zh-CN"/>
        </w:rPr>
        <w:t>44.21</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sz w:val="32"/>
          <w:szCs w:val="32"/>
        </w:rPr>
        <w:t>主要原因：</w:t>
      </w:r>
      <w:r>
        <w:rPr>
          <w:rFonts w:hint="eastAsia" w:ascii="仿宋" w:hAnsi="仿宋" w:eastAsia="仿宋"/>
          <w:sz w:val="32"/>
          <w:szCs w:val="32"/>
          <w:u w:val="none"/>
          <w:lang w:val="en-US" w:eastAsia="zh-CN"/>
        </w:rPr>
        <w:t>2024年县财政增加预算。</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hint="eastAsia" w:ascii="仿宋_GB2312" w:eastAsia="仿宋_GB2312" w:cs="仿宋_GB2312" w:hAnsiTheme="minorHAnsi"/>
          <w:kern w:val="0"/>
          <w:sz w:val="32"/>
          <w:szCs w:val="32"/>
          <w:highlight w:val="yellow"/>
          <w:lang w:eastAsia="zh-CN"/>
        </w:rPr>
      </w:pPr>
      <w:r>
        <w:rPr>
          <w:rFonts w:hint="eastAsia" w:ascii="仿宋" w:hAnsi="仿宋" w:eastAsia="仿宋"/>
          <w:sz w:val="32"/>
          <w:szCs w:val="32"/>
          <w:highlight w:val="none"/>
          <w:lang w:val="en-US" w:eastAsia="zh-CN"/>
        </w:rPr>
        <w:t>无。</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无</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（四）2024年预算绩效情况说明。</w:t>
      </w:r>
    </w:p>
    <w:p>
      <w:pPr>
        <w:spacing w:line="588" w:lineRule="exact"/>
        <w:ind w:firstLine="645"/>
        <w:rPr>
          <w:rFonts w:ascii="仿宋" w:hAnsi="仿宋" w:eastAsia="仿宋"/>
          <w:sz w:val="32"/>
          <w:szCs w:val="32"/>
          <w:highlight w:val="none"/>
        </w:rPr>
      </w:pPr>
      <w:r>
        <w:rPr>
          <w:rFonts w:hint="eastAsia" w:ascii="仿宋" w:hAnsi="仿宋" w:eastAsia="仿宋"/>
          <w:sz w:val="32"/>
          <w:szCs w:val="32"/>
          <w:highlight w:val="none"/>
        </w:rPr>
        <w:t>2024年实现财政支出绩效目标管理全覆盖，实行绩效目标管理</w:t>
      </w:r>
      <w:r>
        <w:rPr>
          <w:rFonts w:hint="eastAsia" w:ascii="仿宋_GB2312" w:eastAsia="仿宋_GB2312" w:cs="仿宋_GB2312" w:hAnsiTheme="minorHAnsi"/>
          <w:kern w:val="0"/>
          <w:sz w:val="32"/>
          <w:szCs w:val="32"/>
          <w:highlight w:val="none"/>
          <w:u w:val="single"/>
          <w:lang w:val="en-US" w:eastAsia="zh-CN"/>
        </w:rPr>
        <w:t>8</w:t>
      </w:r>
      <w:r>
        <w:rPr>
          <w:rFonts w:hint="eastAsia" w:ascii="仿宋" w:hAnsi="仿宋" w:eastAsia="仿宋"/>
          <w:sz w:val="32"/>
          <w:szCs w:val="32"/>
          <w:highlight w:val="none"/>
        </w:rPr>
        <w:t>个，资金</w:t>
      </w:r>
      <w:r>
        <w:rPr>
          <w:rFonts w:hint="eastAsia" w:ascii="仿宋_GB2312" w:eastAsia="仿宋_GB2312" w:cs="仿宋_GB2312" w:hAnsiTheme="minorHAnsi"/>
          <w:kern w:val="0"/>
          <w:sz w:val="32"/>
          <w:szCs w:val="32"/>
          <w:highlight w:val="none"/>
          <w:u w:val="single"/>
          <w:lang w:val="en-US" w:eastAsia="zh-CN"/>
        </w:rPr>
        <w:t>1481.48</w:t>
      </w:r>
      <w:r>
        <w:rPr>
          <w:rFonts w:hint="eastAsia" w:ascii="仿宋" w:hAnsi="仿宋" w:eastAsia="仿宋"/>
          <w:sz w:val="32"/>
          <w:szCs w:val="32"/>
          <w:highlight w:val="none"/>
        </w:rPr>
        <w:t>万元，其中：中央转移支付资金</w:t>
      </w:r>
      <w:r>
        <w:rPr>
          <w:rFonts w:hint="eastAsia" w:ascii="仿宋_GB2312" w:eastAsia="仿宋_GB2312" w:cs="仿宋_GB2312" w:hAnsiTheme="minorHAnsi"/>
          <w:kern w:val="0"/>
          <w:sz w:val="32"/>
          <w:szCs w:val="32"/>
          <w:highlight w:val="none"/>
          <w:u w:val="single"/>
          <w:lang w:val="en-US" w:eastAsia="zh-CN"/>
        </w:rPr>
        <w:t>420.34</w:t>
      </w:r>
      <w:r>
        <w:rPr>
          <w:rFonts w:hint="eastAsia" w:ascii="仿宋" w:hAnsi="仿宋" w:eastAsia="仿宋"/>
          <w:sz w:val="32"/>
          <w:szCs w:val="32"/>
          <w:highlight w:val="none"/>
        </w:rPr>
        <w:t>万元，地方资金</w:t>
      </w:r>
      <w:r>
        <w:rPr>
          <w:rFonts w:hint="eastAsia" w:ascii="仿宋_GB2312" w:eastAsia="仿宋_GB2312" w:cs="仿宋_GB2312" w:hAnsiTheme="minorHAnsi"/>
          <w:kern w:val="0"/>
          <w:sz w:val="32"/>
          <w:szCs w:val="32"/>
          <w:highlight w:val="none"/>
          <w:u w:val="single"/>
          <w:lang w:val="en-US" w:eastAsia="zh-CN"/>
        </w:rPr>
        <w:t>1067.75</w:t>
      </w:r>
      <w:r>
        <w:rPr>
          <w:rFonts w:hint="eastAsia" w:ascii="仿宋" w:hAnsi="仿宋" w:eastAsia="仿宋"/>
          <w:sz w:val="32"/>
          <w:szCs w:val="32"/>
          <w:highlight w:val="none"/>
        </w:rPr>
        <w:t>万元。</w:t>
      </w:r>
    </w:p>
    <w:p>
      <w:pPr>
        <w:ind w:firstLine="640" w:firstLineChars="200"/>
        <w:rPr>
          <w:rFonts w:ascii="楷体" w:hAnsi="楷体" w:eastAsia="楷体"/>
          <w:sz w:val="32"/>
          <w:szCs w:val="32"/>
        </w:rPr>
      </w:pPr>
      <w:r>
        <w:rPr>
          <w:rFonts w:hint="eastAsia" w:ascii="楷体" w:hAnsi="楷体" w:eastAsia="楷体"/>
          <w:sz w:val="32"/>
          <w:szCs w:val="32"/>
        </w:rPr>
        <w:t>（五）扶贫资金管理使用情况及绩效目标情况说明。</w:t>
      </w:r>
    </w:p>
    <w:p>
      <w:pPr>
        <w:ind w:firstLine="640" w:firstLineChars="200"/>
        <w:rPr>
          <w:rFonts w:hint="eastAsia" w:ascii="楷体" w:hAnsi="楷体" w:eastAsia="楷体"/>
          <w:sz w:val="32"/>
          <w:szCs w:val="32"/>
          <w:lang w:val="en-US" w:eastAsia="zh-CN"/>
        </w:rPr>
      </w:pPr>
      <w:r>
        <w:rPr>
          <w:rFonts w:hint="eastAsia" w:ascii="楷体" w:hAnsi="楷体" w:eastAsia="楷体"/>
          <w:sz w:val="32"/>
          <w:szCs w:val="32"/>
          <w:lang w:val="en-US" w:eastAsia="zh-CN"/>
        </w:rPr>
        <w:t>无。</w:t>
      </w:r>
    </w:p>
    <w:p>
      <w:pPr>
        <w:numPr>
          <w:ilvl w:val="0"/>
          <w:numId w:val="2"/>
        </w:numPr>
        <w:ind w:firstLine="640" w:firstLineChars="200"/>
        <w:rPr>
          <w:rFonts w:hint="eastAsia" w:ascii="楷体" w:hAnsi="楷体" w:eastAsia="楷体"/>
          <w:sz w:val="32"/>
          <w:szCs w:val="32"/>
        </w:rPr>
      </w:pPr>
      <w:r>
        <w:rPr>
          <w:rFonts w:hint="eastAsia" w:ascii="楷体" w:hAnsi="楷体" w:eastAsia="楷体"/>
          <w:sz w:val="32"/>
          <w:szCs w:val="32"/>
        </w:rPr>
        <w:t>政府债务情况。</w:t>
      </w:r>
    </w:p>
    <w:p>
      <w:pPr>
        <w:numPr>
          <w:ilvl w:val="0"/>
          <w:numId w:val="0"/>
        </w:numPr>
        <w:rPr>
          <w:rFonts w:hint="default" w:ascii="楷体" w:hAnsi="楷体" w:eastAsia="楷体"/>
          <w:sz w:val="32"/>
          <w:szCs w:val="32"/>
          <w:lang w:val="en-US" w:eastAsia="zh-CN"/>
        </w:rPr>
      </w:pPr>
      <w:r>
        <w:rPr>
          <w:rFonts w:hint="eastAsia" w:ascii="楷体" w:hAnsi="楷体" w:eastAsia="楷体"/>
          <w:sz w:val="32"/>
          <w:szCs w:val="32"/>
          <w:lang w:val="en-US" w:eastAsia="zh-CN"/>
        </w:rPr>
        <w:t xml:space="preserve">    无。</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bookmarkStart w:id="0" w:name="_GoBack"/>
      <w:bookmarkEnd w:id="0"/>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jc w:val="center"/>
        <w:rPr>
          <w:rFonts w:ascii="方正小标宋简体" w:hAnsi="仿宋" w:eastAsia="方正小标宋简体"/>
          <w:sz w:val="32"/>
          <w:szCs w:val="32"/>
        </w:rPr>
      </w:pPr>
    </w:p>
    <w:p>
      <w:pPr>
        <w:ind w:firstLine="640" w:firstLineChars="200"/>
        <w:rPr>
          <w:rFonts w:ascii="仿宋" w:hAnsi="仿宋" w:eastAsia="仿宋"/>
          <w:sz w:val="32"/>
          <w:szCs w:val="32"/>
        </w:rPr>
      </w:pPr>
      <w:r>
        <w:rPr>
          <w:rFonts w:hint="eastAsia" w:ascii="仿宋" w:hAnsi="仿宋" w:eastAsia="仿宋"/>
          <w:sz w:val="32"/>
          <w:szCs w:val="32"/>
        </w:rPr>
        <w:t>（对部门</w:t>
      </w:r>
      <w:r>
        <w:rPr>
          <w:rFonts w:ascii="仿宋" w:hAnsi="仿宋" w:eastAsia="仿宋"/>
          <w:sz w:val="32"/>
          <w:szCs w:val="32"/>
        </w:rPr>
        <w:t>和单位</w:t>
      </w:r>
      <w:r>
        <w:rPr>
          <w:rFonts w:hint="eastAsia" w:ascii="仿宋" w:hAnsi="仿宋" w:eastAsia="仿宋"/>
          <w:sz w:val="32"/>
          <w:szCs w:val="32"/>
        </w:rPr>
        <w:t>专业</w:t>
      </w:r>
      <w:r>
        <w:rPr>
          <w:rFonts w:ascii="仿宋" w:hAnsi="仿宋" w:eastAsia="仿宋"/>
          <w:sz w:val="32"/>
          <w:szCs w:val="32"/>
        </w:rPr>
        <w:t>性较强的名次进行解释</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一、财政拨款收入：</w:t>
      </w:r>
      <w:r>
        <w:rPr>
          <w:rFonts w:hint="eastAsia" w:ascii="仿宋" w:hAnsi="仿宋" w:eastAsia="仿宋"/>
          <w:sz w:val="32"/>
          <w:szCs w:val="32"/>
        </w:rPr>
        <w:t>本级财政部门当年拨付的财政预算资金，包括一般公共预算财政拨款、政府性基金预算财政拨款和</w:t>
      </w:r>
      <w:r>
        <w:rPr>
          <w:rFonts w:ascii="仿宋" w:hAnsi="仿宋" w:eastAsia="仿宋"/>
          <w:sz w:val="32"/>
          <w:szCs w:val="32"/>
        </w:rPr>
        <w:t>国资预算财政拨款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ind w:firstLine="640" w:firstLineChars="200"/>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ind w:firstLine="640" w:firstLineChars="200"/>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ind w:firstLine="640" w:firstLineChars="200"/>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ind w:firstLine="640" w:firstLineChars="200"/>
        <w:jc w:val="left"/>
        <w:rPr>
          <w:rFonts w:hint="eastAsia"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“三公”经费：</w:t>
      </w:r>
      <w:r>
        <w:rPr>
          <w:rFonts w:hint="eastAsia" w:ascii="仿宋" w:hAnsi="仿宋" w:eastAsia="仿宋"/>
          <w:sz w:val="32"/>
          <w:szCs w:val="32"/>
        </w:rPr>
        <w:t>是指安排的因公出国（境）费、公务用车购置及运行维护费和公务接待费。</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ind w:firstLine="640" w:firstLineChars="200"/>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Fonts w:ascii="宋体" w:hAnsi="宋体" w:eastAsia="宋体"/>
        <w:sz w:val="24"/>
        <w:szCs w:val="24"/>
      </w:rPr>
    </w:pPr>
    <w:r>
      <w:rPr>
        <w:rStyle w:val="6"/>
        <w:rFonts w:ascii="宋体" w:hAnsi="宋体" w:eastAsia="宋体"/>
        <w:sz w:val="24"/>
        <w:szCs w:val="24"/>
      </w:rPr>
      <w:fldChar w:fldCharType="begin"/>
    </w:r>
    <w:r>
      <w:rPr>
        <w:rStyle w:val="6"/>
        <w:rFonts w:ascii="宋体" w:hAnsi="宋体" w:eastAsia="宋体"/>
        <w:sz w:val="24"/>
        <w:szCs w:val="24"/>
      </w:rPr>
      <w:instrText xml:space="preserve">PAGE  </w:instrText>
    </w:r>
    <w:r>
      <w:rPr>
        <w:rStyle w:val="6"/>
        <w:rFonts w:ascii="宋体" w:hAnsi="宋体" w:eastAsia="宋体"/>
        <w:sz w:val="24"/>
        <w:szCs w:val="24"/>
      </w:rPr>
      <w:fldChar w:fldCharType="separate"/>
    </w:r>
    <w:r>
      <w:rPr>
        <w:rStyle w:val="6"/>
        <w:rFonts w:ascii="宋体" w:hAnsi="宋体" w:eastAsia="宋体"/>
        <w:sz w:val="24"/>
        <w:szCs w:val="24"/>
      </w:rPr>
      <w:t>- 3 -</w:t>
    </w:r>
    <w:r>
      <w:rPr>
        <w:rStyle w:val="6"/>
        <w:rFonts w:ascii="宋体" w:hAnsi="宋体" w:eastAsia="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F5AB21"/>
    <w:multiLevelType w:val="singleLevel"/>
    <w:tmpl w:val="C5F5AB21"/>
    <w:lvl w:ilvl="0" w:tentative="0">
      <w:start w:val="1"/>
      <w:numFmt w:val="chineseCounting"/>
      <w:suff w:val="nothing"/>
      <w:lvlText w:val="%1、"/>
      <w:lvlJc w:val="left"/>
      <w:rPr>
        <w:rFonts w:hint="eastAsia"/>
      </w:rPr>
    </w:lvl>
  </w:abstractNum>
  <w:abstractNum w:abstractNumId="1">
    <w:nsid w:val="ED95BA01"/>
    <w:multiLevelType w:val="singleLevel"/>
    <w:tmpl w:val="ED95BA01"/>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yYzUyOGZjNjQ4NmFkMDdkZmM3YTM2NDNiMWI3ZDgifQ=="/>
  </w:docVars>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044D7EE8"/>
    <w:rsid w:val="06D859C1"/>
    <w:rsid w:val="0B474EFC"/>
    <w:rsid w:val="2BF87E07"/>
    <w:rsid w:val="36586C50"/>
    <w:rsid w:val="5915155E"/>
    <w:rsid w:val="5E523F24"/>
    <w:rsid w:val="70061B2D"/>
    <w:rsid w:val="78CD5EE9"/>
    <w:rsid w:val="7CAE27B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8">
    <w:name w:val="页眉 字符"/>
    <w:basedOn w:val="5"/>
    <w:link w:val="4"/>
    <w:qFormat/>
    <w:uiPriority w:val="99"/>
    <w:rPr>
      <w:sz w:val="18"/>
      <w:szCs w:val="18"/>
    </w:rPr>
  </w:style>
  <w:style w:type="character" w:customStyle="1" w:styleId="9">
    <w:name w:val="页脚 字符"/>
    <w:basedOn w:val="5"/>
    <w:link w:val="3"/>
    <w:qFormat/>
    <w:uiPriority w:val="99"/>
    <w:rPr>
      <w:sz w:val="18"/>
      <w:szCs w:val="18"/>
    </w:rPr>
  </w:style>
  <w:style w:type="character" w:customStyle="1" w:styleId="10">
    <w:name w:val="批注框文本 字符"/>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707</Words>
  <Characters>4031</Characters>
  <Lines>33</Lines>
  <Paragraphs>9</Paragraphs>
  <TotalTime>0</TotalTime>
  <ScaleCrop>false</ScaleCrop>
  <LinksUpToDate>false</LinksUpToDate>
  <CharactersWithSpaces>4729</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2021-01-27T11:28:00Z</cp:lastPrinted>
  <dcterms:modified xsi:type="dcterms:W3CDTF">2024-02-02T05:37:29Z</dcterms:modified>
  <cp:revision>1645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y fmtid="{D5CDD505-2E9C-101B-9397-08002B2CF9AE}" pid="3" name="ICV">
    <vt:lpwstr>F6D0159E5A8D4EF9A9B154659CA834B0_12</vt:lpwstr>
  </property>
</Properties>
</file>