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班戈县融媒体中心</w:t>
      </w:r>
      <w:r>
        <w:rPr>
          <w:rFonts w:hint="eastAsia" w:ascii="方正小标宋简体" w:hAnsi="仿宋" w:eastAsia="方正小标宋简体"/>
          <w:sz w:val="44"/>
          <w:szCs w:val="44"/>
        </w:rPr>
        <w:t>2024年度部门预算</w:t>
      </w:r>
      <w:r>
        <w:rPr>
          <w:rFonts w:hint="eastAsia" w:ascii="方正小标宋简体" w:hAnsi="仿宋" w:eastAsia="方正小标宋简体"/>
          <w:sz w:val="44"/>
          <w:szCs w:val="44"/>
          <w:lang w:eastAsia="zh-CN"/>
        </w:rPr>
        <w:t>公开</w:t>
      </w:r>
    </w:p>
    <w:p>
      <w:pPr>
        <w:rPr>
          <w:rFonts w:ascii="仿宋" w:hAnsi="仿宋" w:eastAsia="仿宋"/>
          <w:sz w:val="32"/>
          <w:szCs w:val="32"/>
        </w:rPr>
      </w:pPr>
    </w:p>
    <w:p>
      <w:pPr>
        <w:ind w:firstLine="640" w:firstLineChars="200"/>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班戈县融媒体中心</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eastAsia="zh-CN"/>
        </w:rPr>
        <w:t>融媒体中心</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融媒体中心</w:t>
      </w:r>
      <w:r>
        <w:rPr>
          <w:rFonts w:hint="eastAsia" w:ascii="方正小标宋简体" w:hAnsi="仿宋" w:eastAsia="方正小标宋简体"/>
          <w:sz w:val="32"/>
          <w:szCs w:val="32"/>
        </w:rPr>
        <w:t>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融媒体中心</w:t>
      </w:r>
      <w:r>
        <w:rPr>
          <w:rFonts w:hint="eastAsia" w:ascii="方正小标宋简体" w:hAnsi="仿宋" w:eastAsia="方正小标宋简体"/>
          <w:sz w:val="32"/>
          <w:szCs w:val="32"/>
        </w:rPr>
        <w:t>部门预算数据分析</w:t>
      </w:r>
    </w:p>
    <w:p>
      <w:pPr>
        <w:rPr>
          <w:rFonts w:ascii="黑体" w:hAnsi="黑体" w:eastAsia="黑体"/>
          <w:sz w:val="32"/>
          <w:szCs w:val="32"/>
        </w:rPr>
      </w:pPr>
      <w:r>
        <w:rPr>
          <w:rFonts w:hint="eastAsia" w:ascii="黑体" w:hAnsi="黑体" w:eastAsia="黑体"/>
          <w:sz w:val="32"/>
          <w:szCs w:val="32"/>
        </w:rPr>
        <w:t>一、</w:t>
      </w:r>
      <w:r>
        <w:rPr>
          <w:rFonts w:hint="eastAsia" w:ascii="方正小标宋简体" w:hAnsi="仿宋" w:eastAsia="方正小标宋简体"/>
          <w:sz w:val="32"/>
          <w:szCs w:val="32"/>
          <w:lang w:eastAsia="zh-CN"/>
        </w:rPr>
        <w:t>融媒体中心</w:t>
      </w:r>
      <w:r>
        <w:rPr>
          <w:rFonts w:hint="eastAsia" w:ascii="黑体" w:hAnsi="黑体" w:eastAsia="黑体"/>
          <w:sz w:val="32"/>
          <w:szCs w:val="32"/>
        </w:rPr>
        <w:t>单位收支总体情况</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eastAsia="zh-CN"/>
        </w:rPr>
        <w:t>融媒体中心</w:t>
      </w:r>
      <w:r>
        <w:rPr>
          <w:rFonts w:hint="eastAsia" w:ascii="黑体" w:hAnsi="黑体" w:eastAsia="黑体"/>
          <w:sz w:val="32"/>
          <w:szCs w:val="32"/>
        </w:rPr>
        <w:t>单位收入总体情况</w:t>
      </w:r>
    </w:p>
    <w:p>
      <w:pPr>
        <w:rPr>
          <w:rFonts w:ascii="黑体" w:hAnsi="黑体" w:eastAsia="黑体"/>
          <w:sz w:val="32"/>
          <w:szCs w:val="32"/>
        </w:rPr>
      </w:pPr>
      <w:r>
        <w:rPr>
          <w:rFonts w:hint="eastAsia" w:ascii="黑体" w:hAnsi="黑体" w:eastAsia="黑体"/>
          <w:sz w:val="32"/>
          <w:szCs w:val="32"/>
        </w:rPr>
        <w:t>三、</w:t>
      </w:r>
      <w:r>
        <w:rPr>
          <w:rFonts w:hint="eastAsia" w:ascii="方正小标宋简体" w:hAnsi="仿宋" w:eastAsia="方正小标宋简体"/>
          <w:sz w:val="32"/>
          <w:szCs w:val="32"/>
          <w:lang w:eastAsia="zh-CN"/>
        </w:rPr>
        <w:t>融媒体中心</w:t>
      </w:r>
      <w:r>
        <w:rPr>
          <w:rFonts w:hint="eastAsia" w:ascii="黑体" w:hAnsi="黑体" w:eastAsia="黑体"/>
          <w:sz w:val="32"/>
          <w:szCs w:val="32"/>
        </w:rPr>
        <w:t>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融媒体中心</w:t>
      </w:r>
      <w:r>
        <w:rPr>
          <w:rFonts w:hint="eastAsia" w:ascii="方正小标宋简体" w:hAnsi="仿宋" w:eastAsia="方正小标宋简体"/>
          <w:sz w:val="32"/>
          <w:szCs w:val="32"/>
        </w:rPr>
        <w:t>概况</w:t>
      </w:r>
    </w:p>
    <w:p>
      <w:pPr>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一、主要职能职责</w:t>
      </w:r>
    </w:p>
    <w:p>
      <w:pPr>
        <w:rPr>
          <w:rFonts w:hint="eastAsia" w:ascii="黑体" w:hAnsi="黑体" w:eastAsia="黑体"/>
          <w:sz w:val="32"/>
          <w:szCs w:val="32"/>
        </w:rPr>
      </w:pP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1、宣传贯彻党的理论和路线方针政策，宣传贯彻中央关于新时代西藏工作的指导思想和方针政策。</w:t>
      </w: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2、统筹组织重大宣传报道，正面宣传西藏，积极开展涉藏舆论斗争。</w:t>
      </w: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为县党委政府、政府提供内参报道、舆情信息。</w:t>
      </w: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4、坚持正确舆论导向，引导社会热点，加强和改进舆论监督。</w:t>
      </w: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5、组织广播电视和网络视听节目创作生产，制作群众喜闻乐见的精品节目，确保安全播出。</w:t>
      </w: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6、打造自主可控、影响力强的区域融媒体传播平台，推动媒体融合发展。</w:t>
      </w: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7、加强涉藏国际传播能力建设，建设具有较强辐射力、影响力的现代化新型主流媒体，讲好中国梦西藏故事。</w:t>
      </w:r>
    </w:p>
    <w:p>
      <w:pPr>
        <w:pStyle w:val="5"/>
        <w:shd w:val="clear" w:color="auto" w:fill="FFFFFF"/>
        <w:spacing w:before="0" w:beforeAutospacing="0" w:after="0" w:afterAutospacing="0" w:line="500" w:lineRule="exact"/>
        <w:ind w:firstLine="320" w:firstLineChars="100"/>
        <w:jc w:val="both"/>
        <w:rPr>
          <w:rFonts w:hint="eastAsia" w:ascii="仿宋" w:hAnsi="仿宋" w:eastAsia="仿宋" w:cs="仿宋"/>
          <w:color w:val="333333"/>
          <w:sz w:val="32"/>
          <w:szCs w:val="32"/>
        </w:rPr>
      </w:pPr>
      <w:r>
        <w:rPr>
          <w:rFonts w:hint="eastAsia" w:ascii="仿宋" w:hAnsi="仿宋" w:eastAsia="仿宋" w:cs="仿宋"/>
          <w:color w:val="333333"/>
          <w:sz w:val="32"/>
          <w:szCs w:val="32"/>
        </w:rPr>
        <w:t>8、整合县域内电视、广播、网络、手机等资源，做好重大新    闻事件、突发事件统一采访、编辑、发布工作；</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xml:space="preserve"> </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9、做好各级新闻媒体的沟通协调及新闻宣传工作；</w:t>
      </w:r>
    </w:p>
    <w:p>
      <w:pPr>
        <w:pStyle w:val="5"/>
        <w:shd w:val="clear" w:color="auto" w:fill="FFFFFF"/>
        <w:spacing w:before="0" w:beforeAutospacing="0" w:after="0" w:afterAutospacing="0" w:line="500" w:lineRule="exact"/>
        <w:jc w:val="both"/>
        <w:rPr>
          <w:rFonts w:hint="eastAsia" w:ascii="黑体" w:hAnsi="黑体" w:eastAsia="黑体" w:cs="Times New Roman"/>
          <w:kern w:val="2"/>
          <w:sz w:val="32"/>
          <w:szCs w:val="32"/>
          <w:lang w:val="en-US" w:eastAsia="zh-CN" w:bidi="ar-SA"/>
        </w:rPr>
      </w:pPr>
      <w:r>
        <w:rPr>
          <w:rFonts w:hint="eastAsia" w:ascii="仿宋" w:hAnsi="仿宋" w:eastAsia="仿宋" w:cs="仿宋"/>
          <w:color w:val="000000"/>
          <w:sz w:val="32"/>
          <w:szCs w:val="32"/>
        </w:rPr>
        <w:t xml:space="preserve"> </w:t>
      </w:r>
      <w:r>
        <w:rPr>
          <w:rFonts w:hint="eastAsia" w:ascii="黑体" w:hAnsi="黑体" w:eastAsia="黑体" w:cs="Times New Roman"/>
          <w:kern w:val="2"/>
          <w:sz w:val="32"/>
          <w:szCs w:val="32"/>
          <w:lang w:val="en-US" w:eastAsia="zh-CN" w:bidi="ar-SA"/>
        </w:rPr>
        <w:t>二、部门预算单位构成</w:t>
      </w:r>
    </w:p>
    <w:p>
      <w:pPr>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内设办公室、应急广播中心、录制中心等，编制</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人，部门实有</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人。下属预算单位0编制，一正三副</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一</w:t>
      </w:r>
      <w:r>
        <w:rPr>
          <w:rFonts w:hint="eastAsia" w:ascii="仿宋" w:hAnsi="仿宋" w:eastAsia="仿宋" w:cs="仿宋"/>
          <w:sz w:val="32"/>
          <w:szCs w:val="32"/>
        </w:rPr>
        <w:t>级预算单位。</w:t>
      </w: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班戈县融煤体中心</w:t>
      </w:r>
      <w:r>
        <w:rPr>
          <w:rFonts w:hint="eastAsia" w:ascii="方正小标宋简体" w:hAnsi="仿宋" w:eastAsia="方正小标宋简体"/>
          <w:sz w:val="32"/>
          <w:szCs w:val="32"/>
        </w:rPr>
        <w:t>2024年度部门（单位）预算数据分析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收支总预算</w:t>
      </w:r>
      <w:r>
        <w:rPr>
          <w:rFonts w:hint="eastAsia" w:ascii="仿宋" w:hAnsi="仿宋" w:eastAsia="仿宋"/>
          <w:sz w:val="32"/>
          <w:szCs w:val="32"/>
          <w:u w:val="single"/>
        </w:rPr>
        <w:t xml:space="preserve"> 915.50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收入预算总量</w:t>
      </w:r>
      <w:r>
        <w:rPr>
          <w:rFonts w:hint="eastAsia" w:ascii="仿宋" w:hAnsi="仿宋" w:eastAsia="仿宋"/>
          <w:sz w:val="32"/>
          <w:szCs w:val="32"/>
          <w:u w:val="single"/>
        </w:rPr>
        <w:t xml:space="preserve"> 915.50  </w:t>
      </w:r>
      <w:r>
        <w:rPr>
          <w:rFonts w:hint="eastAsia" w:ascii="仿宋" w:hAnsi="仿宋" w:eastAsia="仿宋"/>
          <w:sz w:val="32"/>
          <w:szCs w:val="32"/>
        </w:rPr>
        <w:t>万元，同比减</w:t>
      </w:r>
      <w:r>
        <w:rPr>
          <w:rFonts w:hint="eastAsia" w:ascii="仿宋" w:hAnsi="仿宋" w:eastAsia="仿宋"/>
          <w:sz w:val="32"/>
          <w:szCs w:val="32"/>
          <w:lang w:eastAsia="zh-CN"/>
        </w:rPr>
        <w:t>少</w:t>
      </w:r>
      <w:r>
        <w:rPr>
          <w:rFonts w:hint="eastAsia" w:ascii="仿宋" w:hAnsi="仿宋" w:eastAsia="仿宋"/>
          <w:sz w:val="32"/>
          <w:szCs w:val="32"/>
          <w:lang w:val="en-US" w:eastAsia="zh-CN"/>
        </w:rPr>
        <w:t xml:space="preserve"> 204.87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55.4</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6.05</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860.1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93.95</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915.5</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204.87</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人员减少及结转资金变少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766.96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83.77</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148.54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16.62</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财政拨款收支总预算</w:t>
      </w:r>
      <w:r>
        <w:rPr>
          <w:rFonts w:hint="eastAsia" w:ascii="仿宋" w:hAnsi="仿宋" w:eastAsia="仿宋"/>
          <w:sz w:val="32"/>
          <w:szCs w:val="32"/>
          <w:u w:val="single"/>
        </w:rPr>
        <w:t xml:space="preserve">  915.50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204.87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人员减少及结转资金变少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。一般公共预算当年拨款收入</w:t>
      </w:r>
      <w:r>
        <w:rPr>
          <w:rFonts w:hint="eastAsia" w:ascii="仿宋" w:hAnsi="仿宋" w:eastAsia="仿宋"/>
          <w:sz w:val="32"/>
          <w:szCs w:val="32"/>
          <w:u w:val="single"/>
        </w:rPr>
        <w:t xml:space="preserve"> 860.1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55.4</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915.50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731.48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86.14  </w:t>
      </w:r>
      <w:r>
        <w:rPr>
          <w:rFonts w:hint="eastAsia" w:ascii="仿宋" w:hAnsi="仿宋" w:eastAsia="仿宋"/>
          <w:sz w:val="32"/>
          <w:szCs w:val="32"/>
        </w:rPr>
        <w:t>万元、卫生健康支出</w:t>
      </w:r>
      <w:r>
        <w:rPr>
          <w:rFonts w:hint="eastAsia" w:ascii="仿宋" w:hAnsi="仿宋" w:eastAsia="仿宋"/>
          <w:sz w:val="32"/>
          <w:szCs w:val="32"/>
          <w:u w:val="single"/>
        </w:rPr>
        <w:t xml:space="preserve"> 39.15  </w:t>
      </w:r>
      <w:r>
        <w:rPr>
          <w:rFonts w:hint="eastAsia" w:ascii="仿宋" w:hAnsi="仿宋" w:eastAsia="仿宋"/>
          <w:sz w:val="32"/>
          <w:szCs w:val="32"/>
        </w:rPr>
        <w:t>万元、住房保障支出</w:t>
      </w:r>
      <w:r>
        <w:rPr>
          <w:rFonts w:hint="eastAsia" w:ascii="仿宋" w:hAnsi="仿宋" w:eastAsia="仿宋"/>
          <w:sz w:val="32"/>
          <w:szCs w:val="32"/>
          <w:u w:val="single"/>
        </w:rPr>
        <w:t xml:space="preserve">  58.73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rPr>
        <w:t xml:space="preserve"> 766.96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62.37</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766.96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708.49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92.38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公用经费</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58.47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7.62</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一般公共服务支出财政事务（款）行政运行（项）预算数为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766.96</w:t>
      </w:r>
      <w:r>
        <w:rPr>
          <w:rFonts w:hint="eastAsia" w:ascii="仿宋" w:hAnsi="仿宋" w:eastAsia="仿宋"/>
          <w:sz w:val="32"/>
          <w:szCs w:val="32"/>
          <w:u w:val="single"/>
        </w:rPr>
        <w:t xml:space="preserve">  </w:t>
      </w:r>
      <w:r>
        <w:rPr>
          <w:rFonts w:hint="eastAsia" w:ascii="仿宋" w:hAnsi="仿宋" w:eastAsia="仿宋"/>
          <w:sz w:val="32"/>
          <w:szCs w:val="32"/>
        </w:rPr>
        <w:t>万元，比2023年执行数减少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62.37</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8.13</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eastAsia="zh-CN"/>
        </w:rPr>
        <w:t>人员减少</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2.一般公共服务支出财政事务一般行政管理事务预算数为</w:t>
      </w:r>
      <w:r>
        <w:rPr>
          <w:rFonts w:hint="eastAsia" w:ascii="仿宋" w:hAnsi="仿宋" w:eastAsia="仿宋"/>
          <w:sz w:val="32"/>
          <w:szCs w:val="32"/>
          <w:u w:val="single"/>
        </w:rPr>
        <w:t xml:space="preserve"> 860.1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39.82</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4.63</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人员减少。</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766.96</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708.49</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58.47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15.18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15.18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政府统一安排</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 w:hAnsi="仿宋" w:eastAsia="仿宋"/>
          <w:sz w:val="32"/>
          <w:szCs w:val="32"/>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jc w:val="center"/>
        <w:rPr>
          <w:rFonts w:ascii="方正小标宋简体" w:hAnsi="仿宋" w:eastAsia="方正小标宋简体"/>
          <w:sz w:val="32"/>
          <w:szCs w:val="32"/>
        </w:rPr>
      </w:pPr>
      <w:bookmarkStart w:id="0" w:name="_GoBack"/>
      <w:r>
        <w:rPr>
          <w:rFonts w:hint="eastAsia" w:ascii="方正小标宋简体" w:hAnsi="仿宋" w:eastAsia="方正小标宋简体"/>
          <w:sz w:val="32"/>
          <w:szCs w:val="32"/>
        </w:rPr>
        <w:t>第四部分</w:t>
      </w:r>
    </w:p>
    <w:bookmarkEnd w:id="0"/>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B05A46"/>
    <w:rsid w:val="04740D5C"/>
    <w:rsid w:val="060D4239"/>
    <w:rsid w:val="08005826"/>
    <w:rsid w:val="08AA1527"/>
    <w:rsid w:val="0BAB74B6"/>
    <w:rsid w:val="0E4166FA"/>
    <w:rsid w:val="0F6E50FA"/>
    <w:rsid w:val="10FE3505"/>
    <w:rsid w:val="145E7B5D"/>
    <w:rsid w:val="17825AE7"/>
    <w:rsid w:val="17A430D5"/>
    <w:rsid w:val="1BEE6987"/>
    <w:rsid w:val="1C95499B"/>
    <w:rsid w:val="20166340"/>
    <w:rsid w:val="20AA76A0"/>
    <w:rsid w:val="22E16476"/>
    <w:rsid w:val="23D1657B"/>
    <w:rsid w:val="24A86B20"/>
    <w:rsid w:val="297E56DE"/>
    <w:rsid w:val="2B97385B"/>
    <w:rsid w:val="2BA31507"/>
    <w:rsid w:val="2D6E0026"/>
    <w:rsid w:val="2E6123AA"/>
    <w:rsid w:val="3CCC4AE3"/>
    <w:rsid w:val="3D6B14F1"/>
    <w:rsid w:val="43FB46F8"/>
    <w:rsid w:val="447B380B"/>
    <w:rsid w:val="46005834"/>
    <w:rsid w:val="517E1AAE"/>
    <w:rsid w:val="54F0333B"/>
    <w:rsid w:val="57592FEF"/>
    <w:rsid w:val="583305A7"/>
    <w:rsid w:val="5DAD3E84"/>
    <w:rsid w:val="5FA24691"/>
    <w:rsid w:val="63547AEB"/>
    <w:rsid w:val="65C73F55"/>
    <w:rsid w:val="65D70A2F"/>
    <w:rsid w:val="680A111B"/>
    <w:rsid w:val="690D0FCB"/>
    <w:rsid w:val="69886EB0"/>
    <w:rsid w:val="6A193897"/>
    <w:rsid w:val="6CE71DF3"/>
    <w:rsid w:val="6E4F17B7"/>
    <w:rsid w:val="74AB370C"/>
    <w:rsid w:val="77241C13"/>
    <w:rsid w:val="79D12C69"/>
    <w:rsid w:val="7C0A45A6"/>
    <w:rsid w:val="7E9A4B4F"/>
    <w:rsid w:val="7EF139F8"/>
    <w:rsid w:val="7F475C93"/>
    <w:rsid w:val="7FB914B0"/>
    <w:rsid w:val="7FEA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6</TotalTime>
  <ScaleCrop>false</ScaleCrop>
  <LinksUpToDate>false</LinksUpToDate>
  <CharactersWithSpaces>4729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2024-02-02T09:21:18Z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